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N 752, Роснедр N 11 от 14.10.2021</w:t>
              <w:br/>
              <w:t xml:space="preserve">"Об утверждении Порядка внесения изменений в лицензии на пользование недрами"</w:t>
              <w:br/>
              <w:t xml:space="preserve">(Зарегистрировано в Минюсте России 13.12.2021 N 66306)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13 декабря 2021 г. N 66306</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t xml:space="preserve">N 752</w:t>
      </w:r>
    </w:p>
    <w:p>
      <w:pPr>
        <w:pStyle w:val="2"/>
        <w:jc w:val="center"/>
      </w:pPr>
      <w:r>
        <w:rPr>
          <w:sz w:val="24"/>
        </w:rPr>
      </w:r>
    </w:p>
    <w:p>
      <w:pPr>
        <w:pStyle w:val="2"/>
        <w:jc w:val="center"/>
      </w:pPr>
      <w:r>
        <w:rPr>
          <w:sz w:val="24"/>
        </w:rPr>
        <w:t xml:space="preserve">ФЕДЕРАЛЬНОЕ АГЕНТСТВО ПО НЕДРОПОЛЬЗОВАНИЮ</w:t>
      </w:r>
    </w:p>
    <w:p>
      <w:pPr>
        <w:pStyle w:val="2"/>
        <w:jc w:val="center"/>
      </w:pPr>
      <w:r>
        <w:rPr>
          <w:sz w:val="24"/>
        </w:rPr>
        <w:t xml:space="preserve">N 11</w:t>
      </w:r>
    </w:p>
    <w:p>
      <w:pPr>
        <w:pStyle w:val="2"/>
        <w:jc w:val="center"/>
      </w:pPr>
      <w:r>
        <w:rPr>
          <w:sz w:val="24"/>
        </w:rPr>
      </w:r>
    </w:p>
    <w:p>
      <w:pPr>
        <w:pStyle w:val="2"/>
        <w:jc w:val="center"/>
      </w:pPr>
      <w:r>
        <w:rPr>
          <w:sz w:val="24"/>
        </w:rPr>
        <w:t xml:space="preserve">ПРИКАЗ</w:t>
      </w:r>
    </w:p>
    <w:p>
      <w:pPr>
        <w:pStyle w:val="2"/>
        <w:jc w:val="center"/>
      </w:pPr>
      <w:r>
        <w:rPr>
          <w:sz w:val="24"/>
        </w:rPr>
        <w:t xml:space="preserve">от 14 октября 2021 года</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ВНЕСЕНИЯ ИЗМЕНЕНИЙ В ЛИЦЕНЗИИ НА ПОЛЬЗОВАНИЕ НЕДРАМИ</w:t>
      </w:r>
    </w:p>
    <w:p>
      <w:pPr>
        <w:pStyle w:val="0"/>
        <w:jc w:val="both"/>
      </w:pPr>
      <w:r>
        <w:rPr>
          <w:sz w:val="24"/>
        </w:rPr>
      </w:r>
    </w:p>
    <w:p>
      <w:pPr>
        <w:pStyle w:val="0"/>
        <w:ind w:firstLine="540"/>
        <w:jc w:val="both"/>
      </w:pPr>
      <w:r>
        <w:rPr>
          <w:sz w:val="24"/>
        </w:rPr>
        <w:t xml:space="preserve">В соответствии с </w:t>
      </w:r>
      <w:hyperlink w:history="0" r:id="rId8" w:tooltip="Закон РФ от 21.02.1992 N 2395-1 (ред. от 31.07.2025) &quot;О недрах&quot; {КонсультантПлюс}">
        <w:r>
          <w:rPr>
            <w:sz w:val="24"/>
            <w:color w:val="0000ff"/>
          </w:rPr>
          <w:t xml:space="preserve">частью семнадцатой статьи 12.1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w:history="0" r:id="rId9"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5.2.8(2)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w:history="0" r:id="rId10" w:tooltip="Постановление Правительства РФ от 06.04.2004 N 171 (ред. от 23.08.2021) &quot;Вопросы Федерального агентства по недропользованию&quot; {КонсультантПлюс}">
        <w:r>
          <w:rPr>
            <w:sz w:val="24"/>
            <w:color w:val="0000ff"/>
          </w:rPr>
          <w:t xml:space="preserve">подпунктом "г" пункта 4</w:t>
        </w:r>
      </w:hyperlink>
      <w:r>
        <w:rPr>
          <w:sz w:val="24"/>
        </w:rP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pPr>
        <w:pStyle w:val="0"/>
        <w:spacing w:before="240" w:lineRule="auto"/>
        <w:ind w:firstLine="540"/>
        <w:jc w:val="both"/>
      </w:pPr>
      <w:r>
        <w:rPr>
          <w:sz w:val="24"/>
        </w:rPr>
        <w:t xml:space="preserve">1. Утвердить прилагаемый </w:t>
      </w:r>
      <w:hyperlink w:history="0" w:anchor="P39" w:tooltip="ПОРЯДОК ВНЕСЕНИЯ ИЗМЕНЕНИЙ В ЛИЦЕНЗИИ НА ПОЛЬЗОВАНИЕ НЕДРАМИ">
        <w:r>
          <w:rPr>
            <w:sz w:val="24"/>
            <w:color w:val="0000ff"/>
          </w:rPr>
          <w:t xml:space="preserve">Порядок</w:t>
        </w:r>
      </w:hyperlink>
      <w:r>
        <w:rPr>
          <w:sz w:val="24"/>
        </w:rPr>
        <w:t xml:space="preserve"> внесения изменений в лицензии на пользование недрами.</w:t>
      </w:r>
    </w:p>
    <w:p>
      <w:pPr>
        <w:pStyle w:val="0"/>
        <w:spacing w:before="240" w:lineRule="auto"/>
        <w:ind w:firstLine="540"/>
        <w:jc w:val="both"/>
      </w:pPr>
      <w:r>
        <w:rPr>
          <w:sz w:val="24"/>
        </w:rPr>
        <w:t xml:space="preserve">2. Настоящий приказ вступает в силу с 1 января 2022 г.</w:t>
      </w:r>
    </w:p>
    <w:p>
      <w:pPr>
        <w:pStyle w:val="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Руководителя Федерального агентства</w:t>
      </w:r>
    </w:p>
    <w:p>
      <w:pPr>
        <w:pStyle w:val="0"/>
        <w:jc w:val="right"/>
      </w:pPr>
      <w:r>
        <w:rPr>
          <w:sz w:val="24"/>
        </w:rPr>
        <w:t xml:space="preserve">по недропользованию</w:t>
      </w:r>
    </w:p>
    <w:p>
      <w:pPr>
        <w:pStyle w:val="0"/>
        <w:jc w:val="right"/>
      </w:pPr>
      <w:r>
        <w:rPr>
          <w:sz w:val="24"/>
        </w:rPr>
        <w:t xml:space="preserve">Е.И.ПЕТРОВ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 и Роснедр</w:t>
      </w:r>
    </w:p>
    <w:p>
      <w:pPr>
        <w:pStyle w:val="0"/>
        <w:jc w:val="right"/>
      </w:pPr>
      <w:r>
        <w:rPr>
          <w:sz w:val="24"/>
        </w:rPr>
        <w:t xml:space="preserve">от 14 октября 2021 г. N 752/11</w:t>
      </w:r>
    </w:p>
    <w:p>
      <w:pPr>
        <w:pStyle w:val="0"/>
        <w:jc w:val="both"/>
      </w:pPr>
      <w:r>
        <w:rPr>
          <w:sz w:val="24"/>
        </w:rPr>
      </w:r>
    </w:p>
    <w:bookmarkStart w:id="39" w:name="P39"/>
    <w:bookmarkEnd w:id="39"/>
    <w:p>
      <w:pPr>
        <w:pStyle w:val="2"/>
        <w:jc w:val="center"/>
      </w:pPr>
      <w:r>
        <w:rPr>
          <w:sz w:val="24"/>
        </w:rPr>
        <w:t xml:space="preserve">ПОРЯДОК ВНЕСЕНИЯ ИЗМЕНЕНИЙ В ЛИЦЕНЗИИ НА ПОЛЬЗОВАНИЕ НЕДРАМИ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регламентирует процедуру внесения изменений в лицензии на пользование недрами, в том числе рассмотрения заявок на внесение изменений в лицензии на пользование недрами.</w:t>
      </w:r>
    </w:p>
    <w:p>
      <w:pPr>
        <w:pStyle w:val="0"/>
        <w:spacing w:before="240" w:lineRule="auto"/>
        <w:ind w:firstLine="540"/>
        <w:jc w:val="both"/>
      </w:pPr>
      <w:r>
        <w:rPr>
          <w:sz w:val="24"/>
        </w:rPr>
        <w:t xml:space="preserve">Действие настоящего Порядка не распространяется на внесение изменений в лицензии на пользование недрами в отношении участков недр местного значения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1" w:tooltip="Закон РФ от 21.02.1992 N 2395-1 (ред. от 31.07.2025) &quot;О недрах&quot; {КонсультантПлюс}">
        <w:r>
          <w:rPr>
            <w:sz w:val="24"/>
            <w:color w:val="0000ff"/>
          </w:rPr>
          <w:t xml:space="preserve">Часть семнадцатая статьи 12.1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jc w:val="both"/>
      </w:pPr>
      <w:r>
        <w:rPr>
          <w:sz w:val="24"/>
        </w:rPr>
      </w:r>
    </w:p>
    <w:p>
      <w:pPr>
        <w:pStyle w:val="0"/>
        <w:ind w:firstLine="540"/>
        <w:jc w:val="both"/>
      </w:pPr>
      <w:r>
        <w:rPr>
          <w:sz w:val="24"/>
        </w:rPr>
        <w:t xml:space="preserve">Заявки на внесение изменений в лицензии на пользование недрами (далее - заявка), представленные в Федеральное агентство по недропользованию или его территориальный орган, подлежат рассмотрению в порядке, действовавшем на дату их представления.</w:t>
      </w:r>
    </w:p>
    <w:bookmarkStart w:id="49" w:name="P49"/>
    <w:bookmarkEnd w:id="49"/>
    <w:p>
      <w:pPr>
        <w:pStyle w:val="0"/>
        <w:spacing w:before="240" w:lineRule="auto"/>
        <w:ind w:firstLine="540"/>
        <w:jc w:val="both"/>
      </w:pPr>
      <w:r>
        <w:rPr>
          <w:sz w:val="24"/>
        </w:rPr>
        <w:t xml:space="preserve">2. В соответствии с </w:t>
      </w:r>
      <w:hyperlink w:history="0" r:id="rId12" w:tooltip="Закон РФ от 21.02.1992 N 2395-1 (ред. от 31.07.2025) &quot;О недрах&quot; {КонсультантПлюс}">
        <w:r>
          <w:rPr>
            <w:sz w:val="24"/>
            <w:color w:val="0000ff"/>
          </w:rPr>
          <w:t xml:space="preserve">пунктом 1 части шестой статьи 12.1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"Росгеолэкспертиза" (далее - ФГКУ "Росгеолэкспертиза").</w:t>
      </w:r>
    </w:p>
    <w:p>
      <w:pPr>
        <w:pStyle w:val="0"/>
        <w:spacing w:before="240" w:lineRule="auto"/>
        <w:ind w:firstLine="540"/>
        <w:jc w:val="both"/>
      </w:pPr>
      <w:r>
        <w:rPr>
          <w:sz w:val="24"/>
        </w:rPr>
        <w:t xml:space="preserve">3. В соответствии с </w:t>
      </w:r>
      <w:hyperlink w:history="0" r:id="rId13" w:tooltip="Закон РФ от 21.02.1992 N 2395-1 (ред. от 31.07.2025) &quot;О недрах&quot; {КонсультантПлюс}">
        <w:r>
          <w:rPr>
            <w:sz w:val="24"/>
            <w:color w:val="0000ff"/>
          </w:rPr>
          <w:t xml:space="preserve">частью седьмой статьи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принятие решения о внесении изменений в лицензию на пользование недрами осуществляется комиссией, создаваемой Федеральным агентством по недропользованию или его территориальным органом (далее - Комиссия).</w:t>
      </w:r>
    </w:p>
    <w:p>
      <w:pPr>
        <w:pStyle w:val="0"/>
        <w:spacing w:before="240" w:lineRule="auto"/>
        <w:ind w:firstLine="540"/>
        <w:jc w:val="both"/>
      </w:pPr>
      <w:r>
        <w:rPr>
          <w:sz w:val="24"/>
        </w:rPr>
        <w:t xml:space="preserve">4. Комиссия создается приказом Федерального агентства по недропользованию или его территориального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pPr>
        <w:pStyle w:val="0"/>
        <w:spacing w:before="240" w:lineRule="auto"/>
        <w:ind w:firstLine="540"/>
        <w:jc w:val="both"/>
      </w:pPr>
      <w:r>
        <w:rPr>
          <w:sz w:val="24"/>
        </w:rP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и его подведомственных учреждений.</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а также представители Федерального агентства по недропользованию (по представлению Федерального агентства по недропользованию).</w:t>
      </w:r>
    </w:p>
    <w:bookmarkStart w:id="54" w:name="P54"/>
    <w:bookmarkEnd w:id="54"/>
    <w:p>
      <w:pPr>
        <w:pStyle w:val="0"/>
        <w:spacing w:before="240" w:lineRule="auto"/>
        <w:ind w:firstLine="540"/>
        <w:jc w:val="both"/>
      </w:pPr>
      <w:r>
        <w:rPr>
          <w:sz w:val="24"/>
        </w:rPr>
        <w:t xml:space="preserve">5. Заседания Комиссии проводятся очно и (или) посредством использования видео-конференц-связи.</w:t>
      </w:r>
    </w:p>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ФГКУ "Росгеолэкспертиза".</w:t>
      </w:r>
    </w:p>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w:t>
      </w:r>
    </w:p>
    <w:bookmarkStart w:id="57" w:name="P57"/>
    <w:bookmarkEnd w:id="57"/>
    <w:p>
      <w:pPr>
        <w:pStyle w:val="0"/>
        <w:spacing w:before="240" w:lineRule="auto"/>
        <w:ind w:firstLine="540"/>
        <w:jc w:val="both"/>
      </w:pPr>
      <w:r>
        <w:rPr>
          <w:sz w:val="24"/>
        </w:rPr>
        <w:t xml:space="preserve">6. Принятие решений о внесении изменений в лицензии на пользование недрами осуществляется Комиссией, создаваемой Федеральным агентством по недропользованию, в отношении:</w:t>
      </w:r>
    </w:p>
    <w:bookmarkStart w:id="58" w:name="P58"/>
    <w:bookmarkEnd w:id="58"/>
    <w:p>
      <w:pPr>
        <w:pStyle w:val="0"/>
        <w:spacing w:before="240" w:lineRule="auto"/>
        <w:ind w:firstLine="540"/>
        <w:jc w:val="both"/>
      </w:pPr>
      <w:r>
        <w:rPr>
          <w:sz w:val="24"/>
        </w:rPr>
        <w:t xml:space="preserve">1) участков недр, содержащих полезные ископаемые в количестве, превышающем предельные объемы балансовых запасов и прогнозных ресурсов полезных ископаемых, залегающих на участке недр, указанные в </w:t>
      </w:r>
      <w:hyperlink w:history="0" w:anchor="P254" w:tooltip="ПРЕДЕЛЬНЫЕ ОБЪЕМЫ">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2) участков недр, содержащих полезные ископаемые, не указанные в </w:t>
      </w:r>
      <w:hyperlink w:history="0" w:anchor="P254" w:tooltip="ПРЕДЕЛЬНЫЕ ОБЪЕМЫ">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3) участков недр федерального значения;</w:t>
      </w:r>
    </w:p>
    <w:p>
      <w:pPr>
        <w:pStyle w:val="0"/>
        <w:spacing w:before="240" w:lineRule="auto"/>
        <w:ind w:firstLine="540"/>
        <w:jc w:val="both"/>
      </w:pPr>
      <w:r>
        <w:rPr>
          <w:sz w:val="24"/>
        </w:rPr>
        <w:t xml:space="preserve">4) участков недр, расположенных в пределах исключительной экономической зоны Российской Федерации, Черного и Азовского морей, в пределах которых Российская Федерация осуществляет суверенитет,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а также в пределах российского сектора Каспийского моря;</w:t>
      </w:r>
    </w:p>
    <w:p>
      <w:pPr>
        <w:pStyle w:val="0"/>
        <w:spacing w:before="240" w:lineRule="auto"/>
        <w:ind w:firstLine="540"/>
        <w:jc w:val="both"/>
      </w:pPr>
      <w:r>
        <w:rPr>
          <w:sz w:val="24"/>
        </w:rPr>
        <w:t xml:space="preserve">5) участков недр, предоставленных в пользование в соответствии с </w:t>
      </w:r>
      <w:hyperlink w:history="0" r:id="rId14" w:tooltip="Закон РФ от 21.02.1992 N 2395-1 (ред. от 31.07.2025) &quot;О недрах&quot; {КонсультантПлюс}">
        <w:r>
          <w:rPr>
            <w:sz w:val="24"/>
            <w:color w:val="0000ff"/>
          </w:rPr>
          <w:t xml:space="preserve">абзацем шестым пункта 1</w:t>
        </w:r>
      </w:hyperlink>
      <w:r>
        <w:rPr>
          <w:sz w:val="24"/>
        </w:rPr>
        <w:t xml:space="preserve">, а также </w:t>
      </w:r>
      <w:hyperlink w:history="0" r:id="rId15" w:tooltip="Закон РФ от 21.02.1992 N 2395-1 (ред. от 31.07.2025) &quot;О недрах&quot; {КонсультантПлюс}">
        <w:r>
          <w:rPr>
            <w:sz w:val="24"/>
            <w:color w:val="0000ff"/>
          </w:rPr>
          <w:t xml:space="preserve">пунктами 3</w:t>
        </w:r>
      </w:hyperlink>
      <w:r>
        <w:rPr>
          <w:sz w:val="24"/>
        </w:rPr>
        <w:t xml:space="preserve">, </w:t>
      </w:r>
      <w:hyperlink w:history="0" r:id="rId16" w:tooltip="Закон РФ от 21.02.1992 N 2395-1 (ред. от 31.07.2025) &quot;О недрах&quot; {КонсультантПлюс}">
        <w:r>
          <w:rPr>
            <w:sz w:val="24"/>
            <w:color w:val="0000ff"/>
          </w:rPr>
          <w:t xml:space="preserve">9</w:t>
        </w:r>
      </w:hyperlink>
      <w:r>
        <w:rPr>
          <w:sz w:val="24"/>
        </w:rPr>
        <w:t xml:space="preserve">, </w:t>
      </w:r>
      <w:hyperlink w:history="0" r:id="rId17" w:tooltip="Закон РФ от 21.02.1992 N 2395-1 (ред. от 31.07.2025) &quot;О недрах&quot; {КонсультантПлюс}">
        <w:r>
          <w:rPr>
            <w:sz w:val="24"/>
            <w:color w:val="0000ff"/>
          </w:rPr>
          <w:t xml:space="preserve">11 части первой статьи 10.1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6) участков недр, расположенных на территории более двух субъектов Российской Федерации;</w:t>
      </w:r>
    </w:p>
    <w:bookmarkStart w:id="64" w:name="P64"/>
    <w:bookmarkEnd w:id="64"/>
    <w:p>
      <w:pPr>
        <w:pStyle w:val="0"/>
        <w:spacing w:before="240" w:lineRule="auto"/>
        <w:ind w:firstLine="540"/>
        <w:jc w:val="both"/>
      </w:pPr>
      <w:r>
        <w:rPr>
          <w:sz w:val="24"/>
        </w:rPr>
        <w:t xml:space="preserve">7) участков недр, предоставленных в пользование для геологического изучения и (или) разведки и добычи минеральных подземных вод на территории курортов федерального значения;</w:t>
      </w:r>
    </w:p>
    <w:p>
      <w:pPr>
        <w:pStyle w:val="0"/>
        <w:spacing w:before="240" w:lineRule="auto"/>
        <w:ind w:firstLine="540"/>
        <w:jc w:val="both"/>
      </w:pPr>
      <w:r>
        <w:rPr>
          <w:sz w:val="24"/>
        </w:rPr>
        <w:t xml:space="preserve">8) участков недр, предоставленных в пользование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w:t>
      </w:r>
    </w:p>
    <w:p>
      <w:pPr>
        <w:pStyle w:val="0"/>
        <w:spacing w:before="240" w:lineRule="auto"/>
        <w:ind w:firstLine="540"/>
        <w:jc w:val="both"/>
      </w:pPr>
      <w:r>
        <w:rPr>
          <w:sz w:val="24"/>
        </w:rPr>
        <w:t xml:space="preserve">9) участков недр, предоставленных в пользование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недр для строительства и эксплуатации указанных подземных сооружений, их строительства и эксплуатации;</w:t>
      </w:r>
    </w:p>
    <w:p>
      <w:pPr>
        <w:pStyle w:val="0"/>
        <w:spacing w:before="240" w:lineRule="auto"/>
        <w:ind w:firstLine="540"/>
        <w:jc w:val="both"/>
      </w:pPr>
      <w:r>
        <w:rPr>
          <w:sz w:val="24"/>
        </w:rPr>
        <w:t xml:space="preserve">10) участков недр, предоставленных в пользование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bookmarkStart w:id="68" w:name="P68"/>
    <w:bookmarkEnd w:id="68"/>
    <w:p>
      <w:pPr>
        <w:pStyle w:val="0"/>
        <w:spacing w:before="240" w:lineRule="auto"/>
        <w:ind w:firstLine="540"/>
        <w:jc w:val="both"/>
      </w:pPr>
      <w:r>
        <w:rPr>
          <w:sz w:val="24"/>
        </w:rPr>
        <w:t xml:space="preserve">11) участков недр, предоставленных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указанных вод, их размещения в пластах горных пород.</w:t>
      </w:r>
    </w:p>
    <w:p>
      <w:pPr>
        <w:pStyle w:val="0"/>
        <w:spacing w:before="240" w:lineRule="auto"/>
        <w:ind w:firstLine="540"/>
        <w:jc w:val="both"/>
      </w:pPr>
      <w:r>
        <w:rPr>
          <w:sz w:val="24"/>
        </w:rPr>
        <w:t xml:space="preserve">Принятие решений о внесении изменений в лицензии на пользование недрами осуществляется Комиссией, создаваемой территориальным органом Федерального агентства по недропользованию, в отношении участков недр, не указанных в </w:t>
      </w:r>
      <w:hyperlink w:history="0" w:anchor="P58" w:tooltip="1) участков недр, содержащих полезные ископаемые в количестве, превышающем предельные объемы балансовых запасов и прогнозных ресурсов полезных ископаемых, залегающих на участке недр, указанные в приложении к настоящему Порядку;">
        <w:r>
          <w:rPr>
            <w:sz w:val="24"/>
            <w:color w:val="0000ff"/>
          </w:rPr>
          <w:t xml:space="preserve">подпунктах 1</w:t>
        </w:r>
      </w:hyperlink>
      <w:r>
        <w:rPr>
          <w:sz w:val="24"/>
        </w:rPr>
        <w:t xml:space="preserve"> - </w:t>
      </w:r>
      <w:hyperlink w:history="0" w:anchor="P68" w:tooltip="11) участков недр, предоставленных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х вод, их размещения в плас...">
        <w:r>
          <w:rPr>
            <w:sz w:val="24"/>
            <w:color w:val="0000ff"/>
          </w:rPr>
          <w:t xml:space="preserve">11</w:t>
        </w:r>
      </w:hyperlink>
      <w:r>
        <w:rPr>
          <w:sz w:val="24"/>
        </w:rPr>
        <w:t xml:space="preserve"> настоящего пункта.</w:t>
      </w:r>
    </w:p>
    <w:p>
      <w:pPr>
        <w:pStyle w:val="0"/>
        <w:spacing w:before="240" w:lineRule="auto"/>
        <w:ind w:firstLine="540"/>
        <w:jc w:val="both"/>
      </w:pPr>
      <w:r>
        <w:rPr>
          <w:sz w:val="24"/>
        </w:rPr>
        <w:t xml:space="preserve">7. Передача функций по рассмотрению и анализу документов по внесению изменений в лицензии на пользование недрами между Комиссией, создаваемой Федеральным агентством по недропользованию, и Комиссией, создаваемой территориальным органом Федерального агентства по недропользованию, осуществляется по решению руководителя (заместителя руководителя) Федерального агентства по недропользованию.</w:t>
      </w:r>
    </w:p>
    <w:bookmarkStart w:id="71" w:name="P71"/>
    <w:bookmarkEnd w:id="71"/>
    <w:p>
      <w:pPr>
        <w:pStyle w:val="0"/>
        <w:spacing w:before="240" w:lineRule="auto"/>
        <w:ind w:firstLine="540"/>
        <w:jc w:val="both"/>
      </w:pPr>
      <w:r>
        <w:rPr>
          <w:sz w:val="24"/>
        </w:rPr>
        <w:t xml:space="preserve">8. В соответствии с </w:t>
      </w:r>
      <w:hyperlink w:history="0" r:id="rId18" w:tooltip="Закон РФ от 21.02.1992 N 2395-1 (ред. от 31.07.2025) &quot;О недрах&quot; {КонсультантПлюс}">
        <w:r>
          <w:rPr>
            <w:sz w:val="24"/>
            <w:color w:val="0000ff"/>
          </w:rPr>
          <w:t xml:space="preserve">частью пятой статьи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по следующим основаниям:</w:t>
      </w:r>
    </w:p>
    <w:bookmarkStart w:id="72" w:name="P72"/>
    <w:bookmarkEnd w:id="72"/>
    <w:p>
      <w:pPr>
        <w:pStyle w:val="0"/>
        <w:spacing w:before="240" w:lineRule="auto"/>
        <w:ind w:firstLine="540"/>
        <w:jc w:val="both"/>
      </w:pPr>
      <w:r>
        <w:rPr>
          <w:sz w:val="24"/>
        </w:rPr>
        <w:t xml:space="preserve">1) возникновение обстоятельств, существенно отличающихся от тех, при которых право пользования недрами было предоставлено;</w:t>
      </w:r>
    </w:p>
    <w:bookmarkStart w:id="73" w:name="P73"/>
    <w:bookmarkEnd w:id="73"/>
    <w:p>
      <w:pPr>
        <w:pStyle w:val="0"/>
        <w:spacing w:before="240" w:lineRule="auto"/>
        <w:ind w:firstLine="540"/>
        <w:jc w:val="both"/>
      </w:pPr>
      <w:r>
        <w:rPr>
          <w:sz w:val="24"/>
        </w:rPr>
        <w:t xml:space="preserve">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bookmarkStart w:id="74" w:name="P74"/>
    <w:bookmarkEnd w:id="74"/>
    <w:p>
      <w:pPr>
        <w:pStyle w:val="0"/>
        <w:spacing w:before="240" w:lineRule="auto"/>
        <w:ind w:firstLine="540"/>
        <w:jc w:val="both"/>
      </w:pPr>
      <w:r>
        <w:rPr>
          <w:sz w:val="24"/>
        </w:rPr>
        <w:t xml:space="preserve">3) изменение границ участка недр, предоставленного в пользование;</w:t>
      </w:r>
    </w:p>
    <w:bookmarkStart w:id="75" w:name="P75"/>
    <w:bookmarkEnd w:id="75"/>
    <w:p>
      <w:pPr>
        <w:pStyle w:val="0"/>
        <w:spacing w:before="240" w:lineRule="auto"/>
        <w:ind w:firstLine="540"/>
        <w:jc w:val="both"/>
      </w:pPr>
      <w:r>
        <w:rPr>
          <w:sz w:val="24"/>
        </w:rPr>
        <w:t xml:space="preserve">4) установление пользователями недр, указанными в </w:t>
      </w:r>
      <w:hyperlink w:history="0" r:id="rId19" w:tooltip="Закон РФ от 21.02.1992 N 2395-1 (ред. от 31.07.2025) &quot;О недрах&quot; {КонсультантПлюс}">
        <w:r>
          <w:rPr>
            <w:sz w:val="24"/>
            <w:color w:val="0000ff"/>
          </w:rPr>
          <w:t xml:space="preserve">части восьмой статьи 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2020, N 24, ст. 3753), наличия не указанных в лицензии на пользование недрами попутных полезных ископаемых;</w:t>
      </w:r>
    </w:p>
    <w:bookmarkStart w:id="76" w:name="P76"/>
    <w:bookmarkEnd w:id="76"/>
    <w:p>
      <w:pPr>
        <w:pStyle w:val="0"/>
        <w:spacing w:before="240" w:lineRule="auto"/>
        <w:ind w:firstLine="540"/>
        <w:jc w:val="both"/>
      </w:pPr>
      <w:r>
        <w:rPr>
          <w:sz w:val="24"/>
        </w:rPr>
        <w:t xml:space="preserve">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bookmarkStart w:id="77" w:name="P77"/>
    <w:bookmarkEnd w:id="77"/>
    <w:p>
      <w:pPr>
        <w:pStyle w:val="0"/>
        <w:spacing w:before="240" w:lineRule="auto"/>
        <w:ind w:firstLine="540"/>
        <w:jc w:val="both"/>
      </w:pPr>
      <w:r>
        <w:rPr>
          <w:sz w:val="24"/>
        </w:rPr>
        <w:t xml:space="preserve">6) приведение содержания лицензии на пользование недрами в соответствие с требованиями </w:t>
      </w:r>
      <w:hyperlink w:history="0" r:id="rId20"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 или иных федеральных законов;</w:t>
      </w:r>
    </w:p>
    <w:bookmarkStart w:id="78" w:name="P78"/>
    <w:bookmarkEnd w:id="78"/>
    <w:p>
      <w:pPr>
        <w:pStyle w:val="0"/>
        <w:spacing w:before="240" w:lineRule="auto"/>
        <w:ind w:firstLine="540"/>
        <w:jc w:val="both"/>
      </w:pPr>
      <w:r>
        <w:rPr>
          <w:sz w:val="24"/>
        </w:rPr>
        <w:t xml:space="preserve">7) изменение наименования юридического лица - пользователя недр;</w:t>
      </w:r>
    </w:p>
    <w:bookmarkStart w:id="79" w:name="P79"/>
    <w:bookmarkEnd w:id="79"/>
    <w:p>
      <w:pPr>
        <w:pStyle w:val="0"/>
        <w:spacing w:before="240" w:lineRule="auto"/>
        <w:ind w:firstLine="540"/>
        <w:jc w:val="both"/>
      </w:pPr>
      <w:r>
        <w:rPr>
          <w:sz w:val="24"/>
        </w:rPr>
        <w:t xml:space="preserve">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p>
      <w:pPr>
        <w:pStyle w:val="0"/>
        <w:spacing w:before="240" w:lineRule="auto"/>
        <w:ind w:firstLine="540"/>
        <w:jc w:val="both"/>
      </w:pPr>
      <w:r>
        <w:rPr>
          <w:sz w:val="24"/>
        </w:rPr>
        <w:t xml:space="preserve">Внесение изменений в лицензию на пользование недрами по основаниям, предусмотренным </w:t>
      </w:r>
      <w:hyperlink w:history="0" w:anchor="P72"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подпунктами 1</w:t>
        </w:r>
      </w:hyperlink>
      <w:r>
        <w:rPr>
          <w:sz w:val="24"/>
        </w:rPr>
        <w:t xml:space="preserve"> и </w:t>
      </w:r>
      <w:hyperlink w:history="0" w:anchor="P75" w:tooltip="4) установление пользователями недр, указанными в части восьмой статьи 9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0, N 24, ст. 3753), наличия не указанных в лицензии на пользование недрами попутных полезных ископаемых;">
        <w:r>
          <w:rPr>
            <w:sz w:val="24"/>
            <w:color w:val="0000ff"/>
          </w:rPr>
          <w:t xml:space="preserve">4</w:t>
        </w:r>
      </w:hyperlink>
      <w:r>
        <w:rPr>
          <w:sz w:val="24"/>
        </w:rPr>
        <w:t xml:space="preserve"> настоящего пункта, осуществляется по инициативе пользователя недр. Внесение изменений в лицензию на пользование недрами по основаниям, предусмотренным </w:t>
      </w:r>
      <w:hyperlink w:history="0" w:anchor="P73" w:tooltip="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w:r>
          <w:rPr>
            <w:sz w:val="24"/>
            <w:color w:val="0000ff"/>
          </w:rPr>
          <w:t xml:space="preserve">подпунктами 2</w:t>
        </w:r>
      </w:hyperlink>
      <w:r>
        <w:rPr>
          <w:sz w:val="24"/>
        </w:rPr>
        <w:t xml:space="preserve">, </w:t>
      </w:r>
      <w:hyperlink w:history="0" w:anchor="P74" w:tooltip="3) изменение границ участка недр, предоставленного в пользование;">
        <w:r>
          <w:rPr>
            <w:sz w:val="24"/>
            <w:color w:val="0000ff"/>
          </w:rPr>
          <w:t xml:space="preserve">3</w:t>
        </w:r>
      </w:hyperlink>
      <w:r>
        <w:rPr>
          <w:sz w:val="24"/>
        </w:rPr>
        <w:t xml:space="preserve">,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w:t>
        </w:r>
      </w:hyperlink>
      <w:r>
        <w:rPr>
          <w:sz w:val="24"/>
        </w:rPr>
        <w:t xml:space="preserve"> и </w:t>
      </w:r>
      <w:hyperlink w:history="0" w:anchor="P78" w:tooltip="7) изменение наименования юридического лица - пользователя недр;">
        <w:r>
          <w:rPr>
            <w:sz w:val="24"/>
            <w:color w:val="0000ff"/>
          </w:rPr>
          <w:t xml:space="preserve">7</w:t>
        </w:r>
      </w:hyperlink>
      <w:r>
        <w:rPr>
          <w:sz w:val="24"/>
        </w:rPr>
        <w:t xml:space="preserve"> настоящего пункта, осуществляется по инициативе пользователя недр либо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а по основаниям, предусмотренным </w:t>
      </w:r>
      <w:hyperlink w:history="0" w:anchor="P77" w:tooltip="6) приведение содержания лицензии на пользование недрами в соответствие с требованиями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 или иных федеральных законов;">
        <w:r>
          <w:rPr>
            <w:sz w:val="24"/>
            <w:color w:val="0000ff"/>
          </w:rPr>
          <w:t xml:space="preserve">подпунктами 6</w:t>
        </w:r>
      </w:hyperlink>
      <w:r>
        <w:rPr>
          <w:sz w:val="24"/>
        </w:rPr>
        <w:t xml:space="preserve"> и </w:t>
      </w:r>
      <w:hyperlink w:history="0" w:anchor="P79" w:tooltip="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w:r>
          <w:rPr>
            <w:sz w:val="24"/>
            <w:color w:val="0000ff"/>
          </w:rPr>
          <w:t xml:space="preserve">8</w:t>
        </w:r>
      </w:hyperlink>
      <w:r>
        <w:rPr>
          <w:sz w:val="24"/>
        </w:rPr>
        <w:t xml:space="preserve"> настоящего пункта, по инициативе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Внесение изменений в лицензию на пользование недрами по основаниям, предусмотренным </w:t>
      </w:r>
      <w:hyperlink w:history="0" w:anchor="P72"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подпунктами 1</w:t>
        </w:r>
      </w:hyperlink>
      <w:r>
        <w:rPr>
          <w:sz w:val="24"/>
        </w:rPr>
        <w:t xml:space="preserve"> -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w:t>
        </w:r>
      </w:hyperlink>
      <w:r>
        <w:rPr>
          <w:sz w:val="24"/>
        </w:rPr>
        <w:t xml:space="preserve"> настоящего пункта, осуществляется только при согласии пользователя недр и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Не допускается изменение тех условий лицензии на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w:t>
      </w:r>
      <w:hyperlink w:history="0" r:id="rId21" w:tooltip="Закон РФ от 21.02.1992 N 2395-1 (ред. от 31.07.2025) &quot;О недрах&quot; {КонсультантПлюс}">
        <w:r>
          <w:rPr>
            <w:sz w:val="24"/>
            <w:color w:val="0000ff"/>
          </w:rPr>
          <w:t xml:space="preserve">частью четвертой статьи 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jc w:val="both"/>
      </w:pPr>
      <w:r>
        <w:rPr>
          <w:sz w:val="24"/>
        </w:rPr>
      </w:r>
    </w:p>
    <w:p>
      <w:pPr>
        <w:pStyle w:val="2"/>
        <w:outlineLvl w:val="1"/>
        <w:jc w:val="center"/>
      </w:pPr>
      <w:r>
        <w:rPr>
          <w:sz w:val="24"/>
        </w:rPr>
        <w:t xml:space="preserve">II. Требования к заявке и прилагаемым к ней документам</w:t>
      </w:r>
    </w:p>
    <w:p>
      <w:pPr>
        <w:pStyle w:val="2"/>
        <w:jc w:val="center"/>
      </w:pPr>
      <w:r>
        <w:rPr>
          <w:sz w:val="24"/>
        </w:rPr>
        <w:t xml:space="preserve">и сведениям, информации и документам, являющимся основаниями</w:t>
      </w:r>
    </w:p>
    <w:p>
      <w:pPr>
        <w:pStyle w:val="2"/>
        <w:jc w:val="center"/>
      </w:pPr>
      <w:r>
        <w:rPr>
          <w:sz w:val="24"/>
        </w:rPr>
        <w:t xml:space="preserve">для начала процедуры внесения изменений в лицензии</w:t>
      </w:r>
    </w:p>
    <w:p>
      <w:pPr>
        <w:pStyle w:val="2"/>
        <w:jc w:val="center"/>
      </w:pPr>
      <w:r>
        <w:rPr>
          <w:sz w:val="24"/>
        </w:rPr>
        <w:t xml:space="preserve">на пользование недрами</w:t>
      </w:r>
    </w:p>
    <w:p>
      <w:pPr>
        <w:pStyle w:val="0"/>
        <w:jc w:val="both"/>
      </w:pPr>
      <w:r>
        <w:rPr>
          <w:sz w:val="24"/>
        </w:rPr>
      </w:r>
    </w:p>
    <w:bookmarkStart w:id="89" w:name="P89"/>
    <w:bookmarkEnd w:id="89"/>
    <w:p>
      <w:pPr>
        <w:pStyle w:val="0"/>
        <w:ind w:firstLine="540"/>
        <w:jc w:val="both"/>
      </w:pPr>
      <w:r>
        <w:rPr>
          <w:sz w:val="24"/>
        </w:rPr>
        <w:t xml:space="preserve">9. Основанием для начала процедуры внесения изменений в лицензии на пользование недрами является:</w:t>
      </w:r>
    </w:p>
    <w:bookmarkStart w:id="90" w:name="P90"/>
    <w:bookmarkEnd w:id="90"/>
    <w:p>
      <w:pPr>
        <w:pStyle w:val="0"/>
        <w:spacing w:before="240" w:lineRule="auto"/>
        <w:ind w:firstLine="540"/>
        <w:jc w:val="both"/>
      </w:pPr>
      <w:r>
        <w:rPr>
          <w:sz w:val="24"/>
        </w:rPr>
        <w:t xml:space="preserve">1) заявка пользователя недр;</w:t>
      </w:r>
    </w:p>
    <w:p>
      <w:pPr>
        <w:pStyle w:val="0"/>
        <w:spacing w:before="240" w:lineRule="auto"/>
        <w:ind w:firstLine="540"/>
        <w:jc w:val="both"/>
      </w:pPr>
      <w:r>
        <w:rPr>
          <w:sz w:val="24"/>
        </w:rPr>
        <w:t xml:space="preserve">2) предложения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о внесении изменений в лицензию на пользование недрами.</w:t>
      </w:r>
    </w:p>
    <w:bookmarkStart w:id="92" w:name="P92"/>
    <w:bookmarkEnd w:id="92"/>
    <w:p>
      <w:pPr>
        <w:pStyle w:val="0"/>
        <w:spacing w:before="240" w:lineRule="auto"/>
        <w:ind w:firstLine="540"/>
        <w:jc w:val="both"/>
      </w:pPr>
      <w:r>
        <w:rPr>
          <w:sz w:val="24"/>
        </w:rPr>
        <w:t xml:space="preserve">10. Заявка должна содержать:</w:t>
      </w:r>
    </w:p>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государственный регистрационный номер лицензии на пользование недрами, дату государственной регистрации лицензии на пользование недрами, наименование участка недр (при наличии), целевое назначение работ на участке недр;</w:t>
      </w:r>
    </w:p>
    <w:p>
      <w:pPr>
        <w:pStyle w:val="0"/>
        <w:spacing w:before="240" w:lineRule="auto"/>
        <w:ind w:firstLine="540"/>
        <w:jc w:val="both"/>
      </w:pPr>
      <w:r>
        <w:rPr>
          <w:sz w:val="24"/>
        </w:rPr>
        <w:t xml:space="preserve">3) основание внесения изменений в лицензию на пользование недрами в соответствии с </w:t>
      </w:r>
      <w:hyperlink w:history="0" w:anchor="P71" w:tooltip="8. В соответствии с частью пя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по следующим основаниям:">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4) краткое описание предложений по внесению изменений в лицензию на пользование недрами (с указанием раздела лицензии на пользование недрами, в который предлагается внесение изменений);</w:t>
      </w:r>
    </w:p>
    <w:p>
      <w:pPr>
        <w:pStyle w:val="0"/>
        <w:spacing w:before="240" w:lineRule="auto"/>
        <w:ind w:firstLine="540"/>
        <w:jc w:val="both"/>
      </w:pPr>
      <w:r>
        <w:rPr>
          <w:sz w:val="24"/>
        </w:rPr>
        <w:t xml:space="preserve">5) реквизиты решения об изменении границ участка недр, предоставленного в пользование, принятого в порядке, предусмотренном в соответствии с </w:t>
      </w:r>
      <w:hyperlink w:history="0" r:id="rId22" w:tooltip="Закон РФ от 21.02.1992 N 2395-1 (ред. от 31.07.2025) &quot;О недрах&quot; {КонсультантПлюс}">
        <w:r>
          <w:rPr>
            <w:sz w:val="24"/>
            <w:color w:val="0000ff"/>
          </w:rPr>
          <w:t xml:space="preserve">частью восьмой статьи 7</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2013, N 52, ст. 6973) (в случае подачи заявки по основанию, предусмотренному </w:t>
      </w:r>
      <w:hyperlink w:history="0" w:anchor="P74" w:tooltip="3) изменение границ участка недр, предоставленного в пользование;">
        <w:r>
          <w:rPr>
            <w:sz w:val="24"/>
            <w:color w:val="0000ff"/>
          </w:rPr>
          <w:t xml:space="preserve">подпунктом 3 пункта 8</w:t>
        </w:r>
      </w:hyperlink>
      <w:r>
        <w:rPr>
          <w:sz w:val="24"/>
        </w:rPr>
        <w:t xml:space="preserve"> настоящего Порядка);</w:t>
      </w:r>
    </w:p>
    <w:p>
      <w:pPr>
        <w:pStyle w:val="0"/>
        <w:spacing w:before="240" w:lineRule="auto"/>
        <w:ind w:firstLine="540"/>
        <w:jc w:val="both"/>
      </w:pPr>
      <w:r>
        <w:rPr>
          <w:sz w:val="24"/>
        </w:rPr>
        <w:t xml:space="preserve">6) реквизиты платежного поручения, подтверждающего факт уплаты государственной пошлины, предусмотренной </w:t>
      </w:r>
      <w:hyperlink w:history="0" r:id="rId23"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абзацем седьмым подпункта 92 пункта 1 статьи 333.33</w:t>
        </w:r>
      </w:hyperlink>
      <w:r>
        <w:rPr>
          <w:sz w:val="24"/>
        </w:rPr>
        <w:t xml:space="preserve"> Налогового кодекса Российской Федерации (Собрание законодательства Российской Федерации, 2000, N 32, ст. 3340; 2019, N 48, ст. 6740) (в случае подачи заявки на внесение изменений в лицензию на пользование недрами по основанию, предусмотренному </w:t>
      </w:r>
      <w:hyperlink w:history="0" w:anchor="P73" w:tooltip="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w:r>
          <w:rPr>
            <w:sz w:val="24"/>
            <w:color w:val="0000ff"/>
          </w:rPr>
          <w:t xml:space="preserve">подпунктом 2 пункта 8</w:t>
        </w:r>
      </w:hyperlink>
      <w:r>
        <w:rPr>
          <w:sz w:val="24"/>
        </w:rPr>
        <w:t xml:space="preserve"> настоящего Порядка).</w:t>
      </w:r>
    </w:p>
    <w:bookmarkStart w:id="99" w:name="P99"/>
    <w:bookmarkEnd w:id="99"/>
    <w:p>
      <w:pPr>
        <w:pStyle w:val="0"/>
        <w:spacing w:before="240" w:lineRule="auto"/>
        <w:ind w:firstLine="540"/>
        <w:jc w:val="both"/>
      </w:pPr>
      <w:r>
        <w:rPr>
          <w:sz w:val="24"/>
        </w:rPr>
        <w:t xml:space="preserve">11. К заявке прилагаются следующие документы и сведения:</w:t>
      </w:r>
    </w:p>
    <w:bookmarkStart w:id="100" w:name="P100"/>
    <w:bookmarkEnd w:id="100"/>
    <w:p>
      <w:pPr>
        <w:pStyle w:val="0"/>
        <w:spacing w:before="240" w:lineRule="auto"/>
        <w:ind w:firstLine="540"/>
        <w:jc w:val="both"/>
      </w:pPr>
      <w:r>
        <w:rPr>
          <w:sz w:val="24"/>
        </w:rPr>
        <w:t xml:space="preserve">1) предложения по внесению изменений в лицензию на пользование недрами с обоснованием необходимости их внесения, с приложением соответствующих текстовых и (или) графических документов и материалов. Изменения в лицензию на пользование недрами представляются в виде сравнительной таблицы с указанием действующей и предлагаемой редакции соответствующего раздела лицензии на пользование недрами;</w:t>
      </w:r>
    </w:p>
    <w:bookmarkStart w:id="101" w:name="P101"/>
    <w:bookmarkEnd w:id="101"/>
    <w:p>
      <w:pPr>
        <w:pStyle w:val="0"/>
        <w:spacing w:before="240" w:lineRule="auto"/>
        <w:ind w:firstLine="540"/>
        <w:jc w:val="both"/>
      </w:pPr>
      <w:r>
        <w:rPr>
          <w:sz w:val="24"/>
        </w:rPr>
        <w:t xml:space="preserve">2) информация о выполнении пользователем недр следующих условий пользования участком недр, предусмотренных лицензией на пользование недрами:</w:t>
      </w:r>
    </w:p>
    <w:p>
      <w:pPr>
        <w:pStyle w:val="0"/>
        <w:spacing w:before="240" w:lineRule="auto"/>
        <w:ind w:firstLine="540"/>
        <w:jc w:val="both"/>
      </w:pPr>
      <w:r>
        <w:rPr>
          <w:sz w:val="24"/>
        </w:rPr>
        <w:t xml:space="preserve">а) плановых и фактических сроках выполнения условий лицензии на пользование недрами;</w:t>
      </w:r>
    </w:p>
    <w:bookmarkStart w:id="103" w:name="P103"/>
    <w:bookmarkEnd w:id="103"/>
    <w:p>
      <w:pPr>
        <w:pStyle w:val="0"/>
        <w:spacing w:before="240" w:lineRule="auto"/>
        <w:ind w:firstLine="540"/>
        <w:jc w:val="both"/>
      </w:pPr>
      <w:r>
        <w:rPr>
          <w:sz w:val="24"/>
        </w:rPr>
        <w:t xml:space="preserve">б) требований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разведке месторождений полезных ископаемых, предусмотренной </w:t>
      </w:r>
      <w:hyperlink w:history="0" r:id="rId24" w:tooltip="Закон РФ от 21.02.1992 N 2395-1 (ред. от 31.07.2025) &quot;О недрах&quot; {КонсультантПлюс}">
        <w:r>
          <w:rPr>
            <w:sz w:val="24"/>
            <w:color w:val="0000ff"/>
          </w:rPr>
          <w:t xml:space="preserve">статьей 36.1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04" w:name="P104"/>
    <w:bookmarkEnd w:id="104"/>
    <w:p>
      <w:pPr>
        <w:pStyle w:val="0"/>
        <w:spacing w:before="240" w:lineRule="auto"/>
        <w:ind w:firstLine="540"/>
        <w:jc w:val="both"/>
      </w:pPr>
      <w:r>
        <w:rPr>
          <w:sz w:val="24"/>
        </w:rPr>
        <w:t xml:space="preserve">в) требований технического проекта разработки месторождений полезных ископаемых, технического проекта строительства и эксплуатации подземных сооружений, технического проекта ликвидации и консервации горных выработок, буровых скважин и иных сооружений, связанных с пользованием недрами, предусмотренных </w:t>
      </w:r>
      <w:hyperlink w:history="0" r:id="rId25"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05" w:name="P105"/>
    <w:bookmarkEnd w:id="105"/>
    <w:p>
      <w:pPr>
        <w:pStyle w:val="0"/>
        <w:spacing w:before="240" w:lineRule="auto"/>
        <w:ind w:firstLine="540"/>
        <w:jc w:val="both"/>
      </w:pPr>
      <w:r>
        <w:rPr>
          <w:sz w:val="24"/>
        </w:rPr>
        <w:t xml:space="preserve">г) требований планов и (или) схем развития горных работ, предусмотренных </w:t>
      </w:r>
      <w:hyperlink w:history="0" r:id="rId26" w:tooltip="Закон РФ от 21.02.1992 N 2395-1 (ред. от 31.07.2025) &quot;О недрах&quot; {КонсультантПлюс}">
        <w:r>
          <w:rPr>
            <w:sz w:val="24"/>
            <w:color w:val="0000ff"/>
          </w:rPr>
          <w:t xml:space="preserve">статьей 24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w:t>
      </w:r>
    </w:p>
    <w:p>
      <w:pPr>
        <w:pStyle w:val="0"/>
        <w:spacing w:before="240" w:lineRule="auto"/>
        <w:ind w:firstLine="540"/>
        <w:jc w:val="both"/>
      </w:pPr>
      <w:r>
        <w:rPr>
          <w:sz w:val="24"/>
        </w:rPr>
        <w:t xml:space="preserve">Информация о выполнении пользователем недр условий пользования участком недр, предусмотренных лицензией на пользование недрами, указанная в </w:t>
      </w:r>
      <w:hyperlink w:history="0" w:anchor="P101" w:tooltip="2) информация о выполнении пользователем недр следующих условий пользования участком недр, предусмотренных лицензией на пользование недрами:">
        <w:r>
          <w:rPr>
            <w:sz w:val="24"/>
            <w:color w:val="0000ff"/>
          </w:rPr>
          <w:t xml:space="preserve">подпункте 2</w:t>
        </w:r>
      </w:hyperlink>
      <w:r>
        <w:rPr>
          <w:sz w:val="24"/>
        </w:rPr>
        <w:t xml:space="preserve"> настоящего пункта, представляется в виде сравнительной таблицы с указанием предусмотренных и исполненных (неисполненных) требований:</w:t>
      </w:r>
    </w:p>
    <w:p>
      <w:pPr>
        <w:pStyle w:val="0"/>
        <w:spacing w:before="240" w:lineRule="auto"/>
        <w:ind w:firstLine="540"/>
        <w:jc w:val="both"/>
      </w:pPr>
      <w:r>
        <w:rPr>
          <w:sz w:val="24"/>
        </w:rPr>
        <w:t xml:space="preserve">а) проектной документации, указанной в </w:t>
      </w:r>
      <w:hyperlink w:history="0" w:anchor="P103" w:tooltip="б) требований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е месторождений полезных ископаемых, предусмотренной статьей 36.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r>
          <w:rPr>
            <w:sz w:val="24"/>
            <w:color w:val="0000ff"/>
          </w:rPr>
          <w:t xml:space="preserve">подпункте "б" подпункта 2</w:t>
        </w:r>
      </w:hyperlink>
      <w:r>
        <w:rPr>
          <w:sz w:val="24"/>
        </w:rPr>
        <w:t xml:space="preserve"> настоящего пункта;</w:t>
      </w:r>
    </w:p>
    <w:p>
      <w:pPr>
        <w:pStyle w:val="0"/>
        <w:spacing w:before="240" w:lineRule="auto"/>
        <w:ind w:firstLine="540"/>
        <w:jc w:val="both"/>
      </w:pPr>
      <w:r>
        <w:rPr>
          <w:sz w:val="24"/>
        </w:rPr>
        <w:t xml:space="preserve">б) технических проектов, указанных в </w:t>
      </w:r>
      <w:hyperlink w:history="0" w:anchor="P104" w:tooltip="в) требований технического проекта разработки месторождений полезных ископаемых, технического проекта строительства и эксплуатации подземных сооружений, технического проекта ликвидации и консервации горных выработок, буровых скважин и иных сооружений, связанных с пользованием недрами, предусмотренных статьей 23.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
        <w:r>
          <w:rPr>
            <w:sz w:val="24"/>
            <w:color w:val="0000ff"/>
          </w:rPr>
          <w:t xml:space="preserve">подпункте "в" подпункта 2</w:t>
        </w:r>
      </w:hyperlink>
      <w:r>
        <w:rPr>
          <w:sz w:val="24"/>
        </w:rPr>
        <w:t xml:space="preserve"> настоящего пункта;</w:t>
      </w:r>
    </w:p>
    <w:p>
      <w:pPr>
        <w:pStyle w:val="0"/>
        <w:spacing w:before="240" w:lineRule="auto"/>
        <w:ind w:firstLine="540"/>
        <w:jc w:val="both"/>
      </w:pPr>
      <w:r>
        <w:rPr>
          <w:sz w:val="24"/>
        </w:rPr>
        <w:t xml:space="preserve">в) планов и (или) схем развития горных работ, указанных в </w:t>
      </w:r>
      <w:hyperlink w:history="0" w:anchor="P105" w:tooltip="г) требований планов и (или) схем развития горных работ, предусмотренных статьей 24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
        <w:r>
          <w:rPr>
            <w:sz w:val="24"/>
            <w:color w:val="0000ff"/>
          </w:rPr>
          <w:t xml:space="preserve">подпункте "г" подпункта 2</w:t>
        </w:r>
      </w:hyperlink>
      <w:r>
        <w:rPr>
          <w:sz w:val="24"/>
        </w:rPr>
        <w:t xml:space="preserve"> настоящего пункта;</w:t>
      </w:r>
    </w:p>
    <w:bookmarkStart w:id="110" w:name="P110"/>
    <w:bookmarkEnd w:id="110"/>
    <w:p>
      <w:pPr>
        <w:pStyle w:val="0"/>
        <w:spacing w:before="240" w:lineRule="auto"/>
        <w:ind w:firstLine="540"/>
        <w:jc w:val="both"/>
      </w:pPr>
      <w:r>
        <w:rPr>
          <w:sz w:val="24"/>
        </w:rPr>
        <w:t xml:space="preserve">3)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заявка должна содержать также документ, подтверждающий полномочия такого лица;</w:t>
      </w:r>
    </w:p>
    <w:bookmarkStart w:id="111" w:name="P111"/>
    <w:bookmarkEnd w:id="111"/>
    <w:p>
      <w:pPr>
        <w:pStyle w:val="0"/>
        <w:spacing w:before="240" w:lineRule="auto"/>
        <w:ind w:firstLine="540"/>
        <w:jc w:val="both"/>
      </w:pPr>
      <w:r>
        <w:rPr>
          <w:sz w:val="24"/>
        </w:rPr>
        <w:t xml:space="preserve">4) копии актов контрольных (надзорных) мероприятий органов федерального государственного геологического контроля (надзора) в отношении пользователя недр по соответствующему участку недр за последние 3 года, предшествующих подаче заявки (при наличии), а также выданные им предписания, или информация о том, что указанные проверки за последние 3 года не проводились;</w:t>
      </w:r>
    </w:p>
    <w:p>
      <w:pPr>
        <w:pStyle w:val="0"/>
        <w:spacing w:before="240" w:lineRule="auto"/>
        <w:ind w:firstLine="540"/>
        <w:jc w:val="both"/>
      </w:pPr>
      <w:r>
        <w:rPr>
          <w:sz w:val="24"/>
        </w:rPr>
        <w:t xml:space="preserve">5) справка налогового органа о наличии (об отсутствии) задолженности пользователя недр по уплате налогов и платежей при пользовании недрами;</w:t>
      </w:r>
    </w:p>
    <w:p>
      <w:pPr>
        <w:pStyle w:val="0"/>
        <w:spacing w:before="240" w:lineRule="auto"/>
        <w:ind w:firstLine="540"/>
        <w:jc w:val="both"/>
      </w:pPr>
      <w:r>
        <w:rPr>
          <w:sz w:val="24"/>
        </w:rPr>
        <w:t xml:space="preserve">6) справка федерального фонда геологической информации или его территориального фонда о представлении, непредставлении и (или) нарушении порядка представления пользователем недр геологической информации о недрах в соответствии со </w:t>
      </w:r>
      <w:hyperlink w:history="0" r:id="rId27" w:tooltip="Закон РФ от 21.02.1992 N 2395-1 (ред. от 31.07.2025) &quot;О недрах&quot; {КонсультантПлюс}">
        <w:r>
          <w:rPr>
            <w:sz w:val="24"/>
            <w:color w:val="0000ff"/>
          </w:rPr>
          <w:t xml:space="preserve">статьей 27</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2021, N 18, ст. 3607) в федеральный фонд геологической информации и его территориальные фонды;</w:t>
      </w:r>
    </w:p>
    <w:bookmarkStart w:id="114" w:name="P114"/>
    <w:bookmarkEnd w:id="114"/>
    <w:p>
      <w:pPr>
        <w:pStyle w:val="0"/>
        <w:spacing w:before="240" w:lineRule="auto"/>
        <w:ind w:firstLine="540"/>
        <w:jc w:val="both"/>
      </w:pPr>
      <w:r>
        <w:rPr>
          <w:sz w:val="24"/>
        </w:rPr>
        <w:t xml:space="preserve">7) уведомление, выданное при проведении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о несоответствии указанной проектной документации содержанию лицензии на пользование недрами (в случае подачи заявки на внесение изменений в лицензию на пользование недрами в связи с получением уведомления, предусмотренного настоящим подпунктом).</w:t>
      </w:r>
    </w:p>
    <w:p>
      <w:pPr>
        <w:pStyle w:val="0"/>
        <w:spacing w:before="240" w:lineRule="auto"/>
        <w:ind w:firstLine="540"/>
        <w:jc w:val="both"/>
      </w:pPr>
      <w:r>
        <w:rPr>
          <w:sz w:val="24"/>
        </w:rPr>
        <w:t xml:space="preserve">Пользователь недр вправе представить дополнительные документы и сведения, имеющие значение для обоснования внесения изменений в лицензию на пользование недрами.</w:t>
      </w:r>
    </w:p>
    <w:bookmarkStart w:id="116" w:name="P116"/>
    <w:bookmarkEnd w:id="116"/>
    <w:p>
      <w:pPr>
        <w:pStyle w:val="0"/>
        <w:spacing w:before="240" w:lineRule="auto"/>
        <w:ind w:firstLine="540"/>
        <w:jc w:val="both"/>
      </w:pPr>
      <w:r>
        <w:rPr>
          <w:sz w:val="24"/>
        </w:rPr>
        <w:t xml:space="preserve">12. В случае подачи заявки по основанию, предусмотренному </w:t>
      </w:r>
      <w:hyperlink w:history="0" w:anchor="P75" w:tooltip="4) установление пользователями недр, указанными в части восьмой статьи 9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0, N 24, ст. 3753), наличия не указанных в лицензии на пользование недрами попутных полезных ископаемых;">
        <w:r>
          <w:rPr>
            <w:sz w:val="24"/>
            <w:color w:val="0000ff"/>
          </w:rPr>
          <w:t xml:space="preserve">подпунктом 4 пункта 8</w:t>
        </w:r>
      </w:hyperlink>
      <w:r>
        <w:rPr>
          <w:sz w:val="24"/>
        </w:rPr>
        <w:t xml:space="preserve"> настоящего Порядка, помимо документов и сведений, предусмотренных </w:t>
      </w:r>
      <w:hyperlink w:history="0" w:anchor="P99" w:tooltip="11. К заявке прилагаются следующие документы и сведения:">
        <w:r>
          <w:rPr>
            <w:sz w:val="24"/>
            <w:color w:val="0000ff"/>
          </w:rPr>
          <w:t xml:space="preserve">пунктом 11</w:t>
        </w:r>
      </w:hyperlink>
      <w:r>
        <w:rPr>
          <w:sz w:val="24"/>
        </w:rPr>
        <w:t xml:space="preserve"> настоящего Порядка, к заявке прилагаются следующие документы и сведения, обосновывающие отнесение полезных ископаемых к попутным полезным ископаемым в соответствии с </w:t>
      </w:r>
      <w:hyperlink w:history="0" r:id="rId28" w:tooltip="Постановление Правительства РФ от 12.08.2017 N 963 &quot;О критериях отнесения полезных ископаемых к попутным полезным ископаемым (за исключением попутных вод, углеводородного сырья и общераспространенных полезных ископаемых)&quot; {КонсультантПлюс}">
        <w:r>
          <w:rPr>
            <w:sz w:val="24"/>
            <w:color w:val="0000ff"/>
          </w:rPr>
          <w:t xml:space="preserve">постановлением</w:t>
        </w:r>
      </w:hyperlink>
      <w:r>
        <w:rPr>
          <w:sz w:val="24"/>
        </w:rPr>
        <w:t xml:space="preserve"> Правительства Российской Федерации от 12 августа 2017 г. N 963 "О критериях отнесения полезных ископаемых к попутным полезным ископаемым (за исключением попутных вод, углеводородного сырья и общераспространенных полезных ископаемых)" (Собрание законодательства Российской Федерации, 2017, N 34, ст. 5287):</w:t>
      </w:r>
    </w:p>
    <w:p>
      <w:pPr>
        <w:pStyle w:val="0"/>
        <w:spacing w:before="240" w:lineRule="auto"/>
        <w:ind w:firstLine="540"/>
        <w:jc w:val="both"/>
      </w:pPr>
      <w:r>
        <w:rPr>
          <w:sz w:val="24"/>
        </w:rPr>
        <w:t xml:space="preserve">1) геологическая информация о недрах, включая данные о ее инвентарных номерах в федеральном фонде геологической информации и его территориальных фондах;</w:t>
      </w:r>
    </w:p>
    <w:p>
      <w:pPr>
        <w:pStyle w:val="0"/>
        <w:spacing w:before="240" w:lineRule="auto"/>
        <w:ind w:firstLine="540"/>
        <w:jc w:val="both"/>
      </w:pPr>
      <w:r>
        <w:rPr>
          <w:sz w:val="24"/>
        </w:rPr>
        <w:t xml:space="preserve">2)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в отношении материалов технико-экономического обоснования кондиций для подсчета запасов полезных ископаемых в недрах, предусмотренного </w:t>
      </w:r>
      <w:hyperlink w:history="0" r:id="rId29"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19" w:name="P119"/>
    <w:bookmarkEnd w:id="119"/>
    <w:p>
      <w:pPr>
        <w:pStyle w:val="0"/>
        <w:spacing w:before="240" w:lineRule="auto"/>
        <w:ind w:firstLine="540"/>
        <w:jc w:val="both"/>
      </w:pPr>
      <w:r>
        <w:rPr>
          <w:sz w:val="24"/>
        </w:rPr>
        <w:t xml:space="preserve">13. В случае подачи заявки по основанию, предусмотренному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подпунктом 5 пункта 8</w:t>
        </w:r>
      </w:hyperlink>
      <w:r>
        <w:rPr>
          <w:sz w:val="24"/>
        </w:rPr>
        <w:t xml:space="preserve"> настоящего Порядка, помимо документов и сведений, предусмотренных </w:t>
      </w:r>
      <w:hyperlink w:history="0" w:anchor="P99" w:tooltip="11. К заявке прилагаются следующие документы и сведения:">
        <w:r>
          <w:rPr>
            <w:sz w:val="24"/>
            <w:color w:val="0000ff"/>
          </w:rPr>
          <w:t xml:space="preserve">пунктом 11</w:t>
        </w:r>
      </w:hyperlink>
      <w:r>
        <w:rPr>
          <w:sz w:val="24"/>
        </w:rPr>
        <w:t xml:space="preserve"> настоящего Порядка, к заявке прилагаются следующие документы и сведения:</w:t>
      </w:r>
    </w:p>
    <w:p>
      <w:pPr>
        <w:pStyle w:val="0"/>
        <w:spacing w:before="240" w:lineRule="auto"/>
        <w:ind w:firstLine="540"/>
        <w:jc w:val="both"/>
      </w:pPr>
      <w:r>
        <w:rPr>
          <w:sz w:val="24"/>
        </w:rPr>
        <w:t xml:space="preserve">1) материалы, подтверждающие наличие технической ошибки в сведениях о границах участка недр, предоставленного в пользование (в случае необходимости исправления технической ошибки в сведениях о границах участка недр, предоставленного в пользование):</w:t>
      </w:r>
    </w:p>
    <w:p>
      <w:pPr>
        <w:pStyle w:val="0"/>
        <w:spacing w:before="240" w:lineRule="auto"/>
        <w:ind w:firstLine="540"/>
        <w:jc w:val="both"/>
      </w:pPr>
      <w:r>
        <w:rPr>
          <w:sz w:val="24"/>
        </w:rPr>
        <w:t xml:space="preserve">а) реквизиты геологических отчетов, представленных в федеральный фонд геологической информации и его территориальные фонды, содержащих информацию о прогнозных ресурсах и запасах полезных ископаемых, расположенных на предоставленном в пользование участке недр по состоянию на дату, когда была допущена предполагаемая техническая ошибка, а также выписки (выкопировки) из них;</w:t>
      </w:r>
    </w:p>
    <w:p>
      <w:pPr>
        <w:pStyle w:val="0"/>
        <w:spacing w:before="240" w:lineRule="auto"/>
        <w:ind w:firstLine="540"/>
        <w:jc w:val="both"/>
      </w:pPr>
      <w:r>
        <w:rPr>
          <w:sz w:val="24"/>
        </w:rPr>
        <w:t xml:space="preserve">б) графические материалы с отображением границ участка недр, установленных лицензией на пользование недрами, содержащей техническую ошибку; границ участка недр с учетом предлагаемого исправления технической ошибки; границ смежных участков недр, предоставленных в пользование; контуров блоков прогнозных ресурсов и запасов полезных ископаемых на участке недр, предоставленном в пользование, включающие: топографический план, а также схемы-разрезы (в случае исправления технической ошибки в описании верхней и (или) нижней границы участка недр, предоставленного в пользование, и (или) исправления технической ошибки, выражающейся в несоответствии границ участка недр, предоставленного в пользование, границам геологического объекта);</w:t>
      </w:r>
    </w:p>
    <w:p>
      <w:pPr>
        <w:pStyle w:val="0"/>
        <w:spacing w:before="240" w:lineRule="auto"/>
        <w:ind w:firstLine="540"/>
        <w:jc w:val="both"/>
      </w:pPr>
      <w:r>
        <w:rPr>
          <w:sz w:val="24"/>
        </w:rPr>
        <w:t xml:space="preserve">2) информация, подтверждающая наличие технической ошибки, за исключением технической ошибки в сведениях о границах участка недр, предоставленного в пользование (в случае необходимости исправления технической ошибки, за исключением технической ошибки в сведениях о границах участка недр, предоставленного в пользование).</w:t>
      </w:r>
    </w:p>
    <w:bookmarkStart w:id="124" w:name="P124"/>
    <w:bookmarkEnd w:id="124"/>
    <w:p>
      <w:pPr>
        <w:pStyle w:val="0"/>
        <w:spacing w:before="240" w:lineRule="auto"/>
        <w:ind w:firstLine="540"/>
        <w:jc w:val="both"/>
      </w:pPr>
      <w:r>
        <w:rPr>
          <w:sz w:val="24"/>
        </w:rPr>
        <w:t xml:space="preserve">14. Заявка и прилагаемые к ней документы и сведения, предусмотренные </w:t>
      </w:r>
      <w:hyperlink w:history="0" w:anchor="P92" w:tooltip="10. Заявка должна содержать:">
        <w:r>
          <w:rPr>
            <w:sz w:val="24"/>
            <w:color w:val="0000ff"/>
          </w:rPr>
          <w:t xml:space="preserve">пунктом 10</w:t>
        </w:r>
      </w:hyperlink>
      <w:r>
        <w:rPr>
          <w:sz w:val="24"/>
        </w:rPr>
        <w:t xml:space="preserve">, </w:t>
      </w:r>
      <w:hyperlink w:history="0" w:anchor="P100" w:tooltip="1) предложения по внесению изменений в лицензию на пользование недрами с обоснованием необходимости их внесения, с приложением соответствующих текстовых и (или) графических документов и материалов. Изменения в лицензию на пользование недрами представляются в виде сравнительной таблицы с указанием действующей и предлагаемой редакции соответствующего раздела лицензии на пользование недрами;">
        <w:r>
          <w:rPr>
            <w:sz w:val="24"/>
            <w:color w:val="0000ff"/>
          </w:rPr>
          <w:t xml:space="preserve">подпунктами 1</w:t>
        </w:r>
      </w:hyperlink>
      <w:r>
        <w:rPr>
          <w:sz w:val="24"/>
        </w:rPr>
        <w:t xml:space="preserve"> - </w:t>
      </w:r>
      <w:hyperlink w:history="0" w:anchor="P110" w:tooltip="3)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
        <w:r>
          <w:rPr>
            <w:sz w:val="24"/>
            <w:color w:val="0000ff"/>
          </w:rPr>
          <w:t xml:space="preserve">3 пункта 11</w:t>
        </w:r>
      </w:hyperlink>
      <w:r>
        <w:rPr>
          <w:sz w:val="24"/>
        </w:rPr>
        <w:t xml:space="preserve">, </w:t>
      </w:r>
      <w:hyperlink w:history="0" w:anchor="P116" w:tooltip="12. В случае подачи заявки по основанию, предусмотренному подпунктом 4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обосновывающие отнесение полезных ископаемых к попутным полезным ископаемым в соответствии с постановлением Правительства Российской Федерации от 12 августа 2017 г. N 963 &quot;О критериях отнесения полезных ископаемых к попутным полезным ископаемым (за исключением попутных вод, угле...">
        <w:r>
          <w:rPr>
            <w:sz w:val="24"/>
            <w:color w:val="0000ff"/>
          </w:rPr>
          <w:t xml:space="preserve">пунктами 12</w:t>
        </w:r>
      </w:hyperlink>
      <w:r>
        <w:rPr>
          <w:sz w:val="24"/>
        </w:rPr>
        <w:t xml:space="preserve"> и </w:t>
      </w:r>
      <w:hyperlink w:history="0" w:anchor="P119" w:tooltip="13. В случае подачи заявки по основанию, предусмотренному подпунктом 5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w:r>
          <w:rPr>
            <w:sz w:val="24"/>
            <w:color w:val="0000ff"/>
          </w:rPr>
          <w:t xml:space="preserve">13</w:t>
        </w:r>
      </w:hyperlink>
      <w:r>
        <w:rPr>
          <w:sz w:val="24"/>
        </w:rPr>
        <w:t xml:space="preserve"> настоящего Порядка, представляются в орган государственный власти, обеспечивающий согласно </w:t>
      </w:r>
      <w:hyperlink w:history="0" w:anchor="P54" w:tooltip="5. Заседания Комиссии проводятся очно и (или) посредством использования видео-конференц-связи.">
        <w:r>
          <w:rPr>
            <w:sz w:val="24"/>
            <w:color w:val="0000ff"/>
          </w:rPr>
          <w:t xml:space="preserve">пункту 5</w:t>
        </w:r>
      </w:hyperlink>
      <w:r>
        <w:rPr>
          <w:sz w:val="24"/>
        </w:rPr>
        <w:t xml:space="preserve"> настоящего Порядка деятельность Комиссии с учетом разграничения полномочий, предусмотренного </w:t>
      </w:r>
      <w:hyperlink w:history="0" w:anchor="P57" w:tooltip="6. Принятие решений о внесении изменений в лицензии на пользование недрами осуществляется Комиссией, создаваемой Федеральным агентством по недропользованию, в отношении:">
        <w:r>
          <w:rPr>
            <w:sz w:val="24"/>
            <w:color w:val="0000ff"/>
          </w:rPr>
          <w:t xml:space="preserve">пунктом 6</w:t>
        </w:r>
      </w:hyperlink>
      <w:r>
        <w:rPr>
          <w:sz w:val="24"/>
        </w:rPr>
        <w:t xml:space="preserve"> настоящего Порядка, за исключением случая, предусмотренного </w:t>
      </w:r>
      <w:hyperlink w:history="0" w:anchor="P125" w:tooltip="В случае подачи заявки в связи с получением уведомления, выданного при проведении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о несоответствии указанной проектной документации содержанию лицензии на пользование недрами, и отсутствия иных оснований для внесения изменений заявка представляется в ФГКУ &quot;Росгеолэкспертиза&quot;.">
        <w:r>
          <w:rPr>
            <w:sz w:val="24"/>
            <w:color w:val="0000ff"/>
          </w:rPr>
          <w:t xml:space="preserve">абзацем вторым</w:t>
        </w:r>
      </w:hyperlink>
      <w:r>
        <w:rPr>
          <w:sz w:val="24"/>
        </w:rPr>
        <w:t xml:space="preserve"> настоящего пункта.</w:t>
      </w:r>
    </w:p>
    <w:bookmarkStart w:id="125" w:name="P125"/>
    <w:bookmarkEnd w:id="125"/>
    <w:p>
      <w:pPr>
        <w:pStyle w:val="0"/>
        <w:spacing w:before="240" w:lineRule="auto"/>
        <w:ind w:firstLine="540"/>
        <w:jc w:val="both"/>
      </w:pPr>
      <w:r>
        <w:rPr>
          <w:sz w:val="24"/>
        </w:rPr>
        <w:t xml:space="preserve">В случае подачи заявки в связи с получением уведомления, выданного при проведении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о несоответствии указанной проектной документации содержанию лицензии на пользование недрами, и отсутствия иных оснований для внесения изменений заявка представляется в ФГКУ "Росгеолэкспертиза".</w:t>
      </w:r>
    </w:p>
    <w:p>
      <w:pPr>
        <w:pStyle w:val="0"/>
        <w:spacing w:before="240" w:lineRule="auto"/>
        <w:ind w:firstLine="540"/>
        <w:jc w:val="both"/>
      </w:pPr>
      <w:r>
        <w:rPr>
          <w:sz w:val="24"/>
        </w:rPr>
        <w:t xml:space="preserve">Перечень документов и сведений, предусмотренных </w:t>
      </w:r>
      <w:hyperlink w:history="0" w:anchor="P92" w:tooltip="10. Заявка должна содержать:">
        <w:r>
          <w:rPr>
            <w:sz w:val="24"/>
            <w:color w:val="0000ff"/>
          </w:rPr>
          <w:t xml:space="preserve">пунктом 10</w:t>
        </w:r>
      </w:hyperlink>
      <w:r>
        <w:rPr>
          <w:sz w:val="24"/>
        </w:rPr>
        <w:t xml:space="preserve">, </w:t>
      </w:r>
      <w:hyperlink w:history="0" w:anchor="P100" w:tooltip="1) предложения по внесению изменений в лицензию на пользование недрами с обоснованием необходимости их внесения, с приложением соответствующих текстовых и (или) графических документов и материалов. Изменения в лицензию на пользование недрами представляются в виде сравнительной таблицы с указанием действующей и предлагаемой редакции соответствующего раздела лицензии на пользование недрами;">
        <w:r>
          <w:rPr>
            <w:sz w:val="24"/>
            <w:color w:val="0000ff"/>
          </w:rPr>
          <w:t xml:space="preserve">подпунктами 1</w:t>
        </w:r>
      </w:hyperlink>
      <w:r>
        <w:rPr>
          <w:sz w:val="24"/>
        </w:rPr>
        <w:t xml:space="preserve"> - </w:t>
      </w:r>
      <w:hyperlink w:history="0" w:anchor="P110" w:tooltip="3)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
        <w:r>
          <w:rPr>
            <w:sz w:val="24"/>
            <w:color w:val="0000ff"/>
          </w:rPr>
          <w:t xml:space="preserve">3 пункта 11</w:t>
        </w:r>
      </w:hyperlink>
      <w:r>
        <w:rPr>
          <w:sz w:val="24"/>
        </w:rPr>
        <w:t xml:space="preserve">, </w:t>
      </w:r>
      <w:hyperlink w:history="0" w:anchor="P116" w:tooltip="12. В случае подачи заявки по основанию, предусмотренному подпунктом 4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обосновывающие отнесение полезных ископаемых к попутным полезным ископаемым в соответствии с постановлением Правительства Российской Федерации от 12 августа 2017 г. N 963 &quot;О критериях отнесения полезных ископаемых к попутным полезным ископаемым (за исключением попутных вод, угле...">
        <w:r>
          <w:rPr>
            <w:sz w:val="24"/>
            <w:color w:val="0000ff"/>
          </w:rPr>
          <w:t xml:space="preserve">пунктами 12</w:t>
        </w:r>
      </w:hyperlink>
      <w:r>
        <w:rPr>
          <w:sz w:val="24"/>
        </w:rPr>
        <w:t xml:space="preserve"> и </w:t>
      </w:r>
      <w:hyperlink w:history="0" w:anchor="P119" w:tooltip="13. В случае подачи заявки по основанию, предусмотренному подпунктом 5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w:r>
          <w:rPr>
            <w:sz w:val="24"/>
            <w:color w:val="0000ff"/>
          </w:rPr>
          <w:t xml:space="preserve">13</w:t>
        </w:r>
      </w:hyperlink>
      <w:r>
        <w:rPr>
          <w:sz w:val="24"/>
        </w:rPr>
        <w:t xml:space="preserve"> настоящего Порядка, является исчерпывающим. Требование о представлении иных документов и сведений не допускается.</w:t>
      </w:r>
    </w:p>
    <w:p>
      <w:pPr>
        <w:pStyle w:val="0"/>
        <w:spacing w:before="240" w:lineRule="auto"/>
        <w:ind w:firstLine="540"/>
        <w:jc w:val="both"/>
      </w:pPr>
      <w:r>
        <w:rPr>
          <w:sz w:val="24"/>
        </w:rPr>
        <w:t xml:space="preserve">Документы, указанные в </w:t>
      </w:r>
      <w:hyperlink w:history="0" w:anchor="P111" w:tooltip="4) копии актов контрольных (надзорных) мероприятий органов федерального государственного геологического контроля (надзора) в отношении пользователя недр по соответствующему участку недр за последние 3 года, предшествующих подаче заявки (при наличии), а также выданные им предписания, или информация о том, что указанные проверки за последние 3 года не проводились;">
        <w:r>
          <w:rPr>
            <w:sz w:val="24"/>
            <w:color w:val="0000ff"/>
          </w:rPr>
          <w:t xml:space="preserve">подпунктах 4</w:t>
        </w:r>
      </w:hyperlink>
      <w:r>
        <w:rPr>
          <w:sz w:val="24"/>
        </w:rPr>
        <w:t xml:space="preserve"> - </w:t>
      </w:r>
      <w:hyperlink w:history="0" w:anchor="P114" w:tooltip="7) уведомление, выданное при проведении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о несоответствии указанной проектной документации содержанию лицензии на пользование недрами (в случае подачи заявки на внесение изменений в лицензию на пользование недрами в связи с получением уведомления, предусмотренного настоящим подпункт...">
        <w:r>
          <w:rPr>
            <w:sz w:val="24"/>
            <w:color w:val="0000ff"/>
          </w:rPr>
          <w:t xml:space="preserve">7 пункта 11</w:t>
        </w:r>
      </w:hyperlink>
      <w:r>
        <w:rPr>
          <w:sz w:val="24"/>
        </w:rPr>
        <w:t xml:space="preserve"> настоящего Порядка, получаются путем межведомственного электронного взаимодействия.</w:t>
      </w:r>
    </w:p>
    <w:p>
      <w:pPr>
        <w:pStyle w:val="0"/>
        <w:spacing w:before="240" w:lineRule="auto"/>
        <w:ind w:firstLine="540"/>
        <w:jc w:val="both"/>
      </w:pPr>
      <w:r>
        <w:rPr>
          <w:sz w:val="24"/>
        </w:rPr>
        <w:t xml:space="preserve">Заявитель вправе представить документы, предусмотренные </w:t>
      </w:r>
      <w:hyperlink w:history="0" w:anchor="P111" w:tooltip="4) копии актов контрольных (надзорных) мероприятий органов федерального государственного геологического контроля (надзора) в отношении пользователя недр по соответствующему участку недр за последние 3 года, предшествующих подаче заявки (при наличии), а также выданные им предписания, или информация о том, что указанные проверки за последние 3 года не проводились;">
        <w:r>
          <w:rPr>
            <w:sz w:val="24"/>
            <w:color w:val="0000ff"/>
          </w:rPr>
          <w:t xml:space="preserve">подпунктами 4</w:t>
        </w:r>
      </w:hyperlink>
      <w:r>
        <w:rPr>
          <w:sz w:val="24"/>
        </w:rPr>
        <w:t xml:space="preserve"> - </w:t>
      </w:r>
      <w:hyperlink w:history="0" w:anchor="P114" w:tooltip="7) уведомление, выданное при проведении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о несоответствии указанной проектной документации содержанию лицензии на пользование недрами (в случае подачи заявки на внесение изменений в лицензию на пользование недрами в связи с получением уведомления, предусмотренного настоящим подпункт...">
        <w:r>
          <w:rPr>
            <w:sz w:val="24"/>
            <w:color w:val="0000ff"/>
          </w:rPr>
          <w:t xml:space="preserve">7 пункта 11</w:t>
        </w:r>
      </w:hyperlink>
      <w:r>
        <w:rPr>
          <w:sz w:val="24"/>
        </w:rPr>
        <w:t xml:space="preserve"> настоящего Порядка, а также документы, подтверждающие факт уплаты государственной пошлины за внесение изменений в лицензию на пользование недрами, по собственной инициативе.</w:t>
      </w:r>
    </w:p>
    <w:p>
      <w:pPr>
        <w:pStyle w:val="0"/>
        <w:spacing w:before="240" w:lineRule="auto"/>
        <w:ind w:firstLine="540"/>
        <w:jc w:val="both"/>
      </w:pPr>
      <w:r>
        <w:rPr>
          <w:sz w:val="24"/>
        </w:rPr>
        <w:t xml:space="preserve">15. Заявка и прилагаемые к ней документы и сведения подаются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лично или почтовым отправлением.</w:t>
      </w:r>
    </w:p>
    <w:p>
      <w:pPr>
        <w:pStyle w:val="0"/>
        <w:spacing w:before="240" w:lineRule="auto"/>
        <w:ind w:firstLine="540"/>
        <w:jc w:val="both"/>
      </w:pPr>
      <w:r>
        <w:rPr>
          <w:sz w:val="24"/>
        </w:rPr>
        <w:t xml:space="preserve">В случае подачи заявки с использованием Личного кабинета недропользователя заявка и прилагаемые к ней документы и сведения, предусмотренные </w:t>
      </w:r>
      <w:hyperlink w:history="0" w:anchor="P92" w:tooltip="10. Заявка должна содержать:">
        <w:r>
          <w:rPr>
            <w:sz w:val="24"/>
            <w:color w:val="0000ff"/>
          </w:rPr>
          <w:t xml:space="preserve">пунктом 10</w:t>
        </w:r>
      </w:hyperlink>
      <w:r>
        <w:rPr>
          <w:sz w:val="24"/>
        </w:rPr>
        <w:t xml:space="preserve">, </w:t>
      </w:r>
      <w:hyperlink w:history="0" w:anchor="P100" w:tooltip="1) предложения по внесению изменений в лицензию на пользование недрами с обоснованием необходимости их внесения, с приложением соответствующих текстовых и (или) графических документов и материалов. Изменения в лицензию на пользование недрами представляются в виде сравнительной таблицы с указанием действующей и предлагаемой редакции соответствующего раздела лицензии на пользование недрами;">
        <w:r>
          <w:rPr>
            <w:sz w:val="24"/>
            <w:color w:val="0000ff"/>
          </w:rPr>
          <w:t xml:space="preserve">подпунктами 1</w:t>
        </w:r>
      </w:hyperlink>
      <w:r>
        <w:rPr>
          <w:sz w:val="24"/>
        </w:rPr>
        <w:t xml:space="preserve"> - </w:t>
      </w:r>
      <w:hyperlink w:history="0" w:anchor="P110" w:tooltip="3)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
        <w:r>
          <w:rPr>
            <w:sz w:val="24"/>
            <w:color w:val="0000ff"/>
          </w:rPr>
          <w:t xml:space="preserve">3 пункта 11</w:t>
        </w:r>
      </w:hyperlink>
      <w:r>
        <w:rPr>
          <w:sz w:val="24"/>
        </w:rPr>
        <w:t xml:space="preserve">, </w:t>
      </w:r>
      <w:hyperlink w:history="0" w:anchor="P116" w:tooltip="12. В случае подачи заявки по основанию, предусмотренному подпунктом 4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обосновывающие отнесение полезных ископаемых к попутным полезным ископаемым в соответствии с постановлением Правительства Российской Федерации от 12 августа 2017 г. N 963 &quot;О критериях отнесения полезных ископаемых к попутным полезным ископаемым (за исключением попутных вод, угле...">
        <w:r>
          <w:rPr>
            <w:sz w:val="24"/>
            <w:color w:val="0000ff"/>
          </w:rPr>
          <w:t xml:space="preserve">пунктами 12</w:t>
        </w:r>
      </w:hyperlink>
      <w:r>
        <w:rPr>
          <w:sz w:val="24"/>
        </w:rPr>
        <w:t xml:space="preserve"> и </w:t>
      </w:r>
      <w:hyperlink w:history="0" w:anchor="P119" w:tooltip="13. В случае подачи заявки по основанию, предусмотренному подпунктом 5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w:r>
          <w:rPr>
            <w:sz w:val="24"/>
            <w:color w:val="0000ff"/>
          </w:rPr>
          <w:t xml:space="preserve">13</w:t>
        </w:r>
      </w:hyperlink>
      <w:r>
        <w:rPr>
          <w:sz w:val="24"/>
        </w:rPr>
        <w:t xml:space="preserve"> настоящего Порядка, представляются в форме электронных документов, подписанных электронной подписью в соответствии с требованиями Федерального </w:t>
      </w:r>
      <w:hyperlink w:history="0" r:id="rId30"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2021, N 27, ст. 5187) (далее - Федеральный закон "Об электронной подписи").</w:t>
      </w:r>
    </w:p>
    <w:p>
      <w:pPr>
        <w:pStyle w:val="0"/>
        <w:spacing w:before="240" w:lineRule="auto"/>
        <w:ind w:firstLine="540"/>
        <w:jc w:val="both"/>
      </w:pPr>
      <w:r>
        <w:rPr>
          <w:sz w:val="24"/>
        </w:rPr>
        <w:t xml:space="preserve">В случае подачи заявки лично или почтовым отправлением заявка представляется на бумажном носителе с приложением к ней документов и сведений, предусмотренных </w:t>
      </w:r>
      <w:hyperlink w:history="0" w:anchor="P92" w:tooltip="10. Заявка должна содержать:">
        <w:r>
          <w:rPr>
            <w:sz w:val="24"/>
            <w:color w:val="0000ff"/>
          </w:rPr>
          <w:t xml:space="preserve">пунктом 10</w:t>
        </w:r>
      </w:hyperlink>
      <w:r>
        <w:rPr>
          <w:sz w:val="24"/>
        </w:rPr>
        <w:t xml:space="preserve">, </w:t>
      </w:r>
      <w:hyperlink w:history="0" w:anchor="P100" w:tooltip="1) предложения по внесению изменений в лицензию на пользование недрами с обоснованием необходимости их внесения, с приложением соответствующих текстовых и (или) графических документов и материалов. Изменения в лицензию на пользование недрами представляются в виде сравнительной таблицы с указанием действующей и предлагаемой редакции соответствующего раздела лицензии на пользование недрами;">
        <w:r>
          <w:rPr>
            <w:sz w:val="24"/>
            <w:color w:val="0000ff"/>
          </w:rPr>
          <w:t xml:space="preserve">подпунктами 1</w:t>
        </w:r>
      </w:hyperlink>
      <w:r>
        <w:rPr>
          <w:sz w:val="24"/>
        </w:rPr>
        <w:t xml:space="preserve"> - </w:t>
      </w:r>
      <w:hyperlink w:history="0" w:anchor="P110" w:tooltip="3)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
        <w:r>
          <w:rPr>
            <w:sz w:val="24"/>
            <w:color w:val="0000ff"/>
          </w:rPr>
          <w:t xml:space="preserve">3 пункта 11</w:t>
        </w:r>
      </w:hyperlink>
      <w:r>
        <w:rPr>
          <w:sz w:val="24"/>
        </w:rPr>
        <w:t xml:space="preserve">, </w:t>
      </w:r>
      <w:hyperlink w:history="0" w:anchor="P116" w:tooltip="12. В случае подачи заявки по основанию, предусмотренному подпунктом 4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обосновывающие отнесение полезных ископаемых к попутным полезным ископаемым в соответствии с постановлением Правительства Российской Федерации от 12 августа 2017 г. N 963 &quot;О критериях отнесения полезных ископаемых к попутным полезным ископаемым (за исключением попутных вод, угле...">
        <w:r>
          <w:rPr>
            <w:sz w:val="24"/>
            <w:color w:val="0000ff"/>
          </w:rPr>
          <w:t xml:space="preserve">пунктами 12</w:t>
        </w:r>
      </w:hyperlink>
      <w:r>
        <w:rPr>
          <w:sz w:val="24"/>
        </w:rPr>
        <w:t xml:space="preserve"> и </w:t>
      </w:r>
      <w:hyperlink w:history="0" w:anchor="P119" w:tooltip="13. В случае подачи заявки по основанию, предусмотренному подпунктом 5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w:r>
          <w:rPr>
            <w:sz w:val="24"/>
            <w:color w:val="0000ff"/>
          </w:rPr>
          <w:t xml:space="preserve">13</w:t>
        </w:r>
      </w:hyperlink>
      <w:r>
        <w:rPr>
          <w:sz w:val="24"/>
        </w:rPr>
        <w:t xml:space="preserve"> настоящего Порядка, в форме электронных документов, подписанных электронной подписью в соответствии с требованиями Федерального </w:t>
      </w:r>
      <w:hyperlink w:history="0" r:id="rId31"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пользователя недр (при наличии) (для юридического лица) и подписана пользователем недр либо уполномоченным руководителем пользователя недр лицом. Все листы поданной на бумажном носителе заявки должны быть прошиты и пронумерованы.</w:t>
      </w:r>
    </w:p>
    <w:p>
      <w:pPr>
        <w:pStyle w:val="0"/>
        <w:spacing w:before="240" w:lineRule="auto"/>
        <w:ind w:firstLine="540"/>
        <w:jc w:val="both"/>
      </w:pPr>
      <w:r>
        <w:rPr>
          <w:sz w:val="24"/>
        </w:rPr>
        <w:t xml:space="preserve">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32"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bookmarkStart w:id="133" w:name="P133"/>
    <w:bookmarkEnd w:id="133"/>
    <w:p>
      <w:pPr>
        <w:pStyle w:val="0"/>
        <w:spacing w:before="240" w:lineRule="auto"/>
        <w:ind w:firstLine="540"/>
        <w:jc w:val="both"/>
      </w:pPr>
      <w:r>
        <w:rPr>
          <w:sz w:val="24"/>
        </w:rPr>
        <w:t xml:space="preserve">Заявка в случае продления срока пользования участком недр подается не позднее чем за 3 месяца до его истечения.</w:t>
      </w:r>
    </w:p>
    <w:bookmarkStart w:id="134" w:name="P134"/>
    <w:bookmarkEnd w:id="134"/>
    <w:p>
      <w:pPr>
        <w:pStyle w:val="0"/>
        <w:spacing w:before="240" w:lineRule="auto"/>
        <w:ind w:firstLine="540"/>
        <w:jc w:val="both"/>
      </w:pPr>
      <w:r>
        <w:rPr>
          <w:sz w:val="24"/>
        </w:rPr>
        <w:t xml:space="preserve">16. Поступившая заявка регистрируется Федеральным агентством по недропользованию, его территориальным органом или ФГКУ "Росгеолэкспертиза" в день ее поступления. При регистрации заявки ей присваивается регистрационный номер, а также указывается дата и местное время (часы и минуты) ее поступления.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кабинета недропользователя. В случае подачи заявки лично присвоение регистрационного номера заявке, а также указание даты и местного времени (часов и минут) ее поступления осуществляются в присутствии заявителя. В случае подачи заявки почтовым отправлением указание даты и местного времени (часов и минут) ее поступления должно соответствовать дате и местному времени вручения почтового отправления.</w:t>
      </w:r>
    </w:p>
    <w:p>
      <w:pPr>
        <w:pStyle w:val="0"/>
        <w:spacing w:before="240" w:lineRule="auto"/>
        <w:ind w:firstLine="540"/>
        <w:jc w:val="both"/>
      </w:pPr>
      <w:r>
        <w:rPr>
          <w:sz w:val="24"/>
        </w:rPr>
        <w:t xml:space="preserve">Лицо, осуществляющее организационное обеспечение деятельности Комиссии в соответствии с </w:t>
      </w:r>
      <w:hyperlink w:history="0" w:anchor="P54" w:tooltip="5. Заседания Комиссии проводятся очно и (или) посредством использования видео-конференц-связи.">
        <w:r>
          <w:rPr>
            <w:sz w:val="24"/>
            <w:color w:val="0000ff"/>
          </w:rPr>
          <w:t xml:space="preserve">пунктом 5</w:t>
        </w:r>
      </w:hyperlink>
      <w:r>
        <w:rPr>
          <w:sz w:val="24"/>
        </w:rPr>
        <w:t xml:space="preserve"> настоящего Порядка, обеспечивает размещение заявки и прилагаемых к ней документов и сведений в федеральной государственной информационной системе "Автоматизированная система лицензирования недропользования".</w:t>
      </w:r>
    </w:p>
    <w:bookmarkStart w:id="136" w:name="P136"/>
    <w:bookmarkEnd w:id="136"/>
    <w:p>
      <w:pPr>
        <w:pStyle w:val="0"/>
        <w:spacing w:before="240" w:lineRule="auto"/>
        <w:ind w:firstLine="540"/>
        <w:jc w:val="both"/>
      </w:pPr>
      <w:r>
        <w:rPr>
          <w:sz w:val="24"/>
        </w:rPr>
        <w:t xml:space="preserve">Федеральное агентство по недропользованию, его территориальный орган или ФГКУ "Росгеолэкспертиза", в которые в соответствии с </w:t>
      </w:r>
      <w:hyperlink w:history="0" w:anchor="P124" w:tooltip="14. Заявка и прилагаемые к ней документы и сведения, предусмотренные пунктом 10, подпунктами 1 - 3 пункта 11, пунктами 12 и 13 настоящего Порядка, представляются в орган государственный власти, обеспечивающий согласно пункту 5 настоящего Порядка деятельность Комиссии с учетом разграничения полномочий, предусмотренного пунктом 6 настоящего Порядка, за исключением случая, предусмотренного абзацем вторым настоящего пункта.">
        <w:r>
          <w:rPr>
            <w:sz w:val="24"/>
            <w:color w:val="0000ff"/>
          </w:rPr>
          <w:t xml:space="preserve">пунктом 14</w:t>
        </w:r>
      </w:hyperlink>
      <w:r>
        <w:rPr>
          <w:sz w:val="24"/>
        </w:rPr>
        <w:t xml:space="preserve"> настоящего Порядка была направлена заявка, в срок, не превышающий 5 рабочих дней с даты ее регистрации, проверяет содержание представленной заявки на предмет наличия в ее составе документов и сведений, предусмотренных </w:t>
      </w:r>
      <w:hyperlink w:history="0" w:anchor="P100" w:tooltip="1) предложения по внесению изменений в лицензию на пользование недрами с обоснованием необходимости их внесения, с приложением соответствующих текстовых и (или) графических документов и материалов. Изменения в лицензию на пользование недрами представляются в виде сравнительной таблицы с указанием действующей и предлагаемой редакции соответствующего раздела лицензии на пользование недрами;">
        <w:r>
          <w:rPr>
            <w:sz w:val="24"/>
            <w:color w:val="0000ff"/>
          </w:rPr>
          <w:t xml:space="preserve">подпунктами 1</w:t>
        </w:r>
      </w:hyperlink>
      <w:r>
        <w:rPr>
          <w:sz w:val="24"/>
        </w:rPr>
        <w:t xml:space="preserve"> - </w:t>
      </w:r>
      <w:hyperlink w:history="0" w:anchor="P110" w:tooltip="3)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
        <w:r>
          <w:rPr>
            <w:sz w:val="24"/>
            <w:color w:val="0000ff"/>
          </w:rPr>
          <w:t xml:space="preserve">3 пункта 11</w:t>
        </w:r>
      </w:hyperlink>
      <w:r>
        <w:rPr>
          <w:sz w:val="24"/>
        </w:rPr>
        <w:t xml:space="preserve">, </w:t>
      </w:r>
      <w:hyperlink w:history="0" w:anchor="P116" w:tooltip="12. В случае подачи заявки по основанию, предусмотренному подпунктом 4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обосновывающие отнесение полезных ископаемых к попутным полезным ископаемым в соответствии с постановлением Правительства Российской Федерации от 12 августа 2017 г. N 963 &quot;О критериях отнесения полезных ископаемых к попутным полезным ископаемым (за исключением попутных вод, угле...">
        <w:r>
          <w:rPr>
            <w:sz w:val="24"/>
            <w:color w:val="0000ff"/>
          </w:rPr>
          <w:t xml:space="preserve">пунктами 12</w:t>
        </w:r>
      </w:hyperlink>
      <w:r>
        <w:rPr>
          <w:sz w:val="24"/>
        </w:rPr>
        <w:t xml:space="preserve"> и </w:t>
      </w:r>
      <w:hyperlink w:history="0" w:anchor="P119" w:tooltip="13. В случае подачи заявки по основанию, предусмотренному подпунктом 5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w:r>
          <w:rPr>
            <w:sz w:val="24"/>
            <w:color w:val="0000ff"/>
          </w:rPr>
          <w:t xml:space="preserve">13</w:t>
        </w:r>
      </w:hyperlink>
      <w:r>
        <w:rPr>
          <w:sz w:val="24"/>
        </w:rPr>
        <w:t xml:space="preserve"> настоящего Порядка, а также соблюдения срока подачи заявки, предусмотренного </w:t>
      </w:r>
      <w:hyperlink w:history="0" w:anchor="P133" w:tooltip="Заявка в случае продления срока пользования участком недр подается не позднее чем за 3 месяца до его истечения.">
        <w:r>
          <w:rPr>
            <w:sz w:val="24"/>
            <w:color w:val="0000ff"/>
          </w:rPr>
          <w:t xml:space="preserve">абзацем пятым пункта 15</w:t>
        </w:r>
      </w:hyperlink>
      <w:r>
        <w:rPr>
          <w:sz w:val="24"/>
        </w:rPr>
        <w:t xml:space="preserve"> настоящего Порядка.</w:t>
      </w:r>
    </w:p>
    <w:bookmarkStart w:id="137" w:name="P137"/>
    <w:bookmarkEnd w:id="137"/>
    <w:p>
      <w:pPr>
        <w:pStyle w:val="0"/>
        <w:spacing w:before="240" w:lineRule="auto"/>
        <w:ind w:firstLine="540"/>
        <w:jc w:val="both"/>
      </w:pPr>
      <w:r>
        <w:rPr>
          <w:sz w:val="24"/>
        </w:rPr>
        <w:t xml:space="preserve">В случае отсутствия в составе представленной заявки документов и сведений, указанных в </w:t>
      </w:r>
      <w:hyperlink w:history="0" w:anchor="P136" w:tooltip="Федеральное агентство по недропользованию, его территориальный орган или ФГКУ &quot;Росгеолэкспертиза&quot;, в которые в соответствии с пунктом 14 настоящего Порядка была направлена заявка, в срок, не превышающий 5 рабочих дней с даты ее регистрации, проверяет содержание представленной заявки на предмет наличия в ее составе документов и сведений, предусмотренных подпунктами 1 - 3 пункта 11, пунктами 12 и 13 настоящего Порядка, а также соблюдения срока подачи заявки, предусмотренного абзацем пятым пункта 15 настоящ...">
        <w:r>
          <w:rPr>
            <w:sz w:val="24"/>
            <w:color w:val="0000ff"/>
          </w:rPr>
          <w:t xml:space="preserve">абзаце третьем</w:t>
        </w:r>
      </w:hyperlink>
      <w:r>
        <w:rPr>
          <w:sz w:val="24"/>
        </w:rPr>
        <w:t xml:space="preserve"> настоящего пункта, и (или) подачи заявки с нарушением срока, предусмотренного </w:t>
      </w:r>
      <w:hyperlink w:history="0" w:anchor="P133" w:tooltip="Заявка в случае продления срока пользования участком недр подается не позднее чем за 3 месяца до его истечения.">
        <w:r>
          <w:rPr>
            <w:sz w:val="24"/>
            <w:color w:val="0000ff"/>
          </w:rPr>
          <w:t xml:space="preserve">абзацем пятым пункта 15</w:t>
        </w:r>
      </w:hyperlink>
      <w:r>
        <w:rPr>
          <w:sz w:val="24"/>
        </w:rPr>
        <w:t xml:space="preserve"> настоящего Порядка, поступившая заявка не подлежит направлению для рассмотрения Комиссией, о чем Федеральное агентство по недропользованию, его территориальный орган или ФГКУ "Росгеолэкспертиза", в которые в соответствии с </w:t>
      </w:r>
      <w:hyperlink w:history="0" w:anchor="P124" w:tooltip="14. Заявка и прилагаемые к ней документы и сведения, предусмотренные пунктом 10, подпунктами 1 - 3 пункта 11, пунктами 12 и 13 настоящего Порядка, представляются в орган государственный власти, обеспечивающий согласно пункту 5 настоящего Порядка деятельность Комиссии с учетом разграничения полномочий, предусмотренного пунктом 6 настоящего Порядка, за исключением случая, предусмотренного абзацем вторым настоящего пункта.">
        <w:r>
          <w:rPr>
            <w:sz w:val="24"/>
            <w:color w:val="0000ff"/>
          </w:rPr>
          <w:t xml:space="preserve">пунктом 14</w:t>
        </w:r>
      </w:hyperlink>
      <w:r>
        <w:rPr>
          <w:sz w:val="24"/>
        </w:rPr>
        <w:t xml:space="preserve"> настоящего Порядка была направлена заявка, уведомляют пользователя недр с использованием Личного кабинета недропользователя и (или) по адресу электронной почты, указанному в заявке (при наличии), или почтовым отправлением по адресу, указанному в заявке, в срок, указанный в </w:t>
      </w:r>
      <w:hyperlink w:history="0" w:anchor="P136" w:tooltip="Федеральное агентство по недропользованию, его территориальный орган или ФГКУ &quot;Росгеолэкспертиза&quot;, в которые в соответствии с пунктом 14 настоящего Порядка была направлена заявка, в срок, не превышающий 5 рабочих дней с даты ее регистрации, проверяет содержание представленной заявки на предмет наличия в ее составе документов и сведений, предусмотренных подпунктами 1 - 3 пункта 11, пунктами 12 и 13 настоящего Порядка, а также соблюдения срока подачи заявки, предусмотренного абзацем пятым пункта 15 настоящ...">
        <w:r>
          <w:rPr>
            <w:sz w:val="24"/>
            <w:color w:val="0000ff"/>
          </w:rPr>
          <w:t xml:space="preserve">абзаце третьем</w:t>
        </w:r>
      </w:hyperlink>
      <w:r>
        <w:rPr>
          <w:sz w:val="24"/>
        </w:rPr>
        <w:t xml:space="preserve"> настоящего пункта.</w:t>
      </w:r>
    </w:p>
    <w:p>
      <w:pPr>
        <w:pStyle w:val="0"/>
        <w:spacing w:before="240" w:lineRule="auto"/>
        <w:ind w:firstLine="540"/>
        <w:jc w:val="both"/>
      </w:pPr>
      <w:r>
        <w:rPr>
          <w:sz w:val="24"/>
        </w:rPr>
        <w:t xml:space="preserve">17. В случае, указанном в </w:t>
      </w:r>
      <w:hyperlink w:history="0" w:anchor="P137" w:tooltip="В случае отсутствия в составе представленной заявки документов и сведений, указанных в абзаце третьем настоящего пункта, и (или) подачи заявки с нарушением срока, предусмотренного абзацем пятым пункта 15 настоящего Порядка, поступившая заявка не подлежит направлению для рассмотрения Комиссией, о чем Федеральное агентство по недропользованию, его территориальный орган или ФГКУ &quot;Росгеолэкспертиза&quot;, в которые в соответствии с пунктом 14 настоящего Порядка была направлена заявка, уведомляют пользователя недр...">
        <w:r>
          <w:rPr>
            <w:sz w:val="24"/>
            <w:color w:val="0000ff"/>
          </w:rPr>
          <w:t xml:space="preserve">абзаце четвертом пункта 16</w:t>
        </w:r>
      </w:hyperlink>
      <w:r>
        <w:rPr>
          <w:sz w:val="24"/>
        </w:rPr>
        <w:t xml:space="preserve"> настоящего Порядка, уплаченная государственная пошлина подлежит возврату лицу, внесшему плату.</w:t>
      </w:r>
    </w:p>
    <w:p>
      <w:pPr>
        <w:pStyle w:val="0"/>
        <w:spacing w:before="240" w:lineRule="auto"/>
        <w:ind w:firstLine="540"/>
        <w:jc w:val="both"/>
      </w:pPr>
      <w:r>
        <w:rPr>
          <w:sz w:val="24"/>
        </w:rPr>
        <w:t xml:space="preserve">18. Предложения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о внесении изменений в лицензию на пользование недрами по основанию, предусмотренному </w:t>
      </w:r>
      <w:hyperlink w:history="0" w:anchor="P74" w:tooltip="3) изменение границ участка недр, предоставленного в пользование;">
        <w:r>
          <w:rPr>
            <w:sz w:val="24"/>
            <w:color w:val="0000ff"/>
          </w:rPr>
          <w:t xml:space="preserve">подпунктом 3 пункта 8</w:t>
        </w:r>
      </w:hyperlink>
      <w:r>
        <w:rPr>
          <w:sz w:val="24"/>
        </w:rPr>
        <w:t xml:space="preserve"> настоящего Порядка, формируются на основании решения об изменении границ участка недр, предоставленного в пользование, принятого в порядке, предусмотренном в соответствии с </w:t>
      </w:r>
      <w:hyperlink w:history="0" r:id="rId33" w:tooltip="Закон РФ от 21.02.1992 N 2395-1 (ред. от 31.07.2025) &quot;О недрах&quot; {КонсультантПлюс}">
        <w:r>
          <w:rPr>
            <w:sz w:val="24"/>
            <w:color w:val="0000ff"/>
          </w:rPr>
          <w:t xml:space="preserve">частью восьмой статьи 7</w:t>
        </w:r>
      </w:hyperlink>
      <w:r>
        <w:rPr>
          <w:sz w:val="24"/>
        </w:rPr>
        <w:t xml:space="preserve"> Закона Российской Федерации "О недрах".</w:t>
      </w:r>
    </w:p>
    <w:p>
      <w:pPr>
        <w:pStyle w:val="0"/>
        <w:spacing w:before="240" w:lineRule="auto"/>
        <w:ind w:firstLine="540"/>
        <w:jc w:val="both"/>
      </w:pPr>
      <w:r>
        <w:rPr>
          <w:sz w:val="24"/>
        </w:rPr>
        <w:t xml:space="preserve">Предложения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о внесении изменений в лицензию на пользование недрами по основаниям, предусмотренным </w:t>
      </w:r>
      <w:hyperlink w:history="0" w:anchor="P73" w:tooltip="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w:r>
          <w:rPr>
            <w:sz w:val="24"/>
            <w:color w:val="0000ff"/>
          </w:rPr>
          <w:t xml:space="preserve">подпунктами 2</w:t>
        </w:r>
      </w:hyperlink>
      <w:r>
        <w:rPr>
          <w:sz w:val="24"/>
        </w:rPr>
        <w:t xml:space="preserve">,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w:t>
        </w:r>
      </w:hyperlink>
      <w:r>
        <w:rPr>
          <w:sz w:val="24"/>
        </w:rPr>
        <w:t xml:space="preserve"> - </w:t>
      </w:r>
      <w:hyperlink w:history="0" w:anchor="P79" w:tooltip="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w:r>
          <w:rPr>
            <w:sz w:val="24"/>
            <w:color w:val="0000ff"/>
          </w:rPr>
          <w:t xml:space="preserve">8 пункта 8</w:t>
        </w:r>
      </w:hyperlink>
      <w:r>
        <w:rPr>
          <w:sz w:val="24"/>
        </w:rPr>
        <w:t xml:space="preserve"> настоящего Порядка, формируются на основании информации, содержащейся в федеральных информационных системах и государственных информационных ресурсах, а также поступивших в их адрес в соответствии с </w:t>
      </w:r>
      <w:hyperlink w:history="0" r:id="rId34"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Правилами</w:t>
        </w:r>
      </w:hyperlink>
      <w:r>
        <w:rPr>
          <w:sz w:val="24"/>
        </w:rPr>
        <w:t xml:space="preserve"> подготовки и оформления документов, удостоверяющих уточненные границы горного отвода, утвержденными постановлением Правительства Российской Федерации от 16 сентября 2020 г. N 1465 (Собрание законодательства Российской Федерации, 2020, N 39, ст. 6045), документов, удостоверяющих уточненные границы горных отводов.</w:t>
      </w:r>
    </w:p>
    <w:p>
      <w:pPr>
        <w:pStyle w:val="0"/>
        <w:spacing w:before="240" w:lineRule="auto"/>
        <w:ind w:firstLine="540"/>
        <w:jc w:val="both"/>
      </w:pPr>
      <w:r>
        <w:rPr>
          <w:sz w:val="24"/>
        </w:rPr>
        <w:t xml:space="preserve">19. Информация из единого государственного реестра юридических лиц, предусмотренная </w:t>
      </w:r>
      <w:hyperlink w:history="0" w:anchor="P78" w:tooltip="7) изменение наименования юридического лица - пользователя недр;">
        <w:r>
          <w:rPr>
            <w:sz w:val="24"/>
            <w:color w:val="0000ff"/>
          </w:rPr>
          <w:t xml:space="preserve">подпунктом 7 пункта 8</w:t>
        </w:r>
      </w:hyperlink>
      <w:r>
        <w:rPr>
          <w:sz w:val="24"/>
        </w:rPr>
        <w:t xml:space="preserve"> настоящего Порядка, предоставляется с использованием Интернет-сервиса, размещенного на официальном сайте Федеральной налоговой службы, в соответствии с </w:t>
      </w:r>
      <w:hyperlink w:history="0" r:id="rId35"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w:t>
      </w:r>
    </w:p>
    <w:p>
      <w:pPr>
        <w:pStyle w:val="0"/>
        <w:spacing w:before="240" w:lineRule="auto"/>
        <w:ind w:firstLine="540"/>
        <w:jc w:val="both"/>
      </w:pPr>
      <w:r>
        <w:rPr>
          <w:sz w:val="24"/>
        </w:rPr>
        <w:t xml:space="preserve">Факт уплаты пользователем недр или уполномоченным им в соответствии с законодательством Российской Федерации лицом государственной пошлины за внесение изменений в лицензию на пользование недрами подтверждается уполномоченным лицом Федерального агентства по недропользованию, его территориального органа или ФГКУ "Росгеолэкспертиза" посредством использования информации, содержащейся в Государственной информационной системе о государственных и муниципальных платежах.</w:t>
      </w:r>
    </w:p>
    <w:bookmarkStart w:id="143" w:name="P143"/>
    <w:bookmarkEnd w:id="143"/>
    <w:p>
      <w:pPr>
        <w:pStyle w:val="0"/>
        <w:spacing w:before="240" w:lineRule="auto"/>
        <w:ind w:firstLine="540"/>
        <w:jc w:val="both"/>
      </w:pPr>
      <w:r>
        <w:rPr>
          <w:sz w:val="24"/>
        </w:rPr>
        <w:t xml:space="preserve">20. Решение руководителя (заместителя руководителя) Федерального агентства по недропользованию о приведении содержания лицензии на пользование недрами в соответствие с требованиями </w:t>
      </w:r>
      <w:hyperlink w:history="0" r:id="rId36"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или иных федеральных законов должно содержать:</w:t>
      </w:r>
    </w:p>
    <w:p>
      <w:pPr>
        <w:pStyle w:val="0"/>
        <w:spacing w:before="240" w:lineRule="auto"/>
        <w:ind w:firstLine="540"/>
        <w:jc w:val="both"/>
      </w:pPr>
      <w:r>
        <w:rPr>
          <w:sz w:val="24"/>
        </w:rPr>
        <w:t xml:space="preserve">1) сведения о лицензии на пользование недрами с указанием ее государственного регистрационного номера и даты государственной регистрации лицензии на пользование недрами;</w:t>
      </w:r>
    </w:p>
    <w:p>
      <w:pPr>
        <w:pStyle w:val="0"/>
        <w:spacing w:before="240" w:lineRule="auto"/>
        <w:ind w:firstLine="540"/>
        <w:jc w:val="both"/>
      </w:pPr>
      <w:r>
        <w:rPr>
          <w:sz w:val="24"/>
        </w:rPr>
        <w:t xml:space="preserve">2)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3) ссылку на положения </w:t>
      </w:r>
      <w:hyperlink w:history="0" r:id="rId37"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или иных федеральных законов, которым не соответствует лицензия на пользование недрами.</w:t>
      </w:r>
    </w:p>
    <w:p>
      <w:pPr>
        <w:pStyle w:val="0"/>
        <w:jc w:val="both"/>
      </w:pPr>
      <w:r>
        <w:rPr>
          <w:sz w:val="24"/>
        </w:rPr>
      </w:r>
    </w:p>
    <w:p>
      <w:pPr>
        <w:pStyle w:val="2"/>
        <w:outlineLvl w:val="1"/>
        <w:jc w:val="center"/>
      </w:pPr>
      <w:r>
        <w:rPr>
          <w:sz w:val="24"/>
        </w:rPr>
        <w:t xml:space="preserve">III. Подготовка документов по внесению изменений в лицензии</w:t>
      </w:r>
    </w:p>
    <w:p>
      <w:pPr>
        <w:pStyle w:val="2"/>
        <w:jc w:val="center"/>
      </w:pPr>
      <w:r>
        <w:rPr>
          <w:sz w:val="24"/>
        </w:rPr>
        <w:t xml:space="preserve">на пользование недрами для рассмотрения Комиссией</w:t>
      </w:r>
    </w:p>
    <w:p>
      <w:pPr>
        <w:pStyle w:val="0"/>
        <w:jc w:val="both"/>
      </w:pPr>
      <w:r>
        <w:rPr>
          <w:sz w:val="24"/>
        </w:rPr>
      </w:r>
    </w:p>
    <w:bookmarkStart w:id="151" w:name="P151"/>
    <w:bookmarkEnd w:id="151"/>
    <w:p>
      <w:pPr>
        <w:pStyle w:val="0"/>
        <w:ind w:firstLine="540"/>
        <w:jc w:val="both"/>
      </w:pPr>
      <w:r>
        <w:rPr>
          <w:sz w:val="24"/>
        </w:rPr>
        <w:t xml:space="preserve">21. Лицо, осуществляющее организационное обеспечение деятельности Комиссии в соответствии с </w:t>
      </w:r>
      <w:hyperlink w:history="0" w:anchor="P54" w:tooltip="5. Заседания Комиссии проводятся очно и (или) посредством использования видео-конференц-связи.">
        <w:r>
          <w:rPr>
            <w:sz w:val="24"/>
            <w:color w:val="0000ff"/>
          </w:rPr>
          <w:t xml:space="preserve">пунктом 5</w:t>
        </w:r>
      </w:hyperlink>
      <w:r>
        <w:rPr>
          <w:sz w:val="24"/>
        </w:rPr>
        <w:t xml:space="preserve"> настоящего Порядка, готовит комплект документов по внесению изменений в лицензию на пользование недрами для рассмотрения Комиссией, который включает в себя следующие документы и сведения в отношении каждого случая внесения изменений в лицензию на пользование недрами:</w:t>
      </w:r>
    </w:p>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наименование участка недр и его геологические характеристики, краткие сведения о ранее выполненных пользователем недр условий пользования участком недр, предусмотренных лицензией на пользование недрами по данным федеральных информационных систем Федерального агентства по недропользованию и государственных информационных ресурсов Федерального агентства по недропользованию;</w:t>
      </w:r>
    </w:p>
    <w:p>
      <w:pPr>
        <w:pStyle w:val="0"/>
        <w:spacing w:before="240" w:lineRule="auto"/>
        <w:ind w:firstLine="540"/>
        <w:jc w:val="both"/>
      </w:pPr>
      <w:r>
        <w:rPr>
          <w:sz w:val="24"/>
        </w:rPr>
        <w:t xml:space="preserve">3) копия лицензии на пользование недрами;</w:t>
      </w:r>
    </w:p>
    <w:p>
      <w:pPr>
        <w:pStyle w:val="0"/>
        <w:spacing w:before="240" w:lineRule="auto"/>
        <w:ind w:firstLine="540"/>
        <w:jc w:val="both"/>
      </w:pPr>
      <w:r>
        <w:rPr>
          <w:sz w:val="24"/>
        </w:rPr>
        <w:t xml:space="preserve">4) информация об основании внесения изменений в лицензию на пользование недрами, предусмотренном </w:t>
      </w:r>
      <w:hyperlink w:history="0" w:anchor="P71" w:tooltip="8. В соответствии с частью пя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по следующим основаниям:">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5) документы и (или) информация, являющиеся основанием для начала процедуры внесения изменений в лицензию на пользование недрами в соответствии с </w:t>
      </w:r>
      <w:hyperlink w:history="0" w:anchor="P89" w:tooltip="9. Основанием для начала процедуры внесения изменений в лицензии на пользование недрами является:">
        <w:r>
          <w:rPr>
            <w:sz w:val="24"/>
            <w:color w:val="0000ff"/>
          </w:rPr>
          <w:t xml:space="preserve">пунктом 9</w:t>
        </w:r>
      </w:hyperlink>
      <w:r>
        <w:rPr>
          <w:sz w:val="24"/>
        </w:rPr>
        <w:t xml:space="preserve"> настоящего Порядка;</w:t>
      </w:r>
    </w:p>
    <w:p>
      <w:pPr>
        <w:pStyle w:val="0"/>
        <w:spacing w:before="240" w:lineRule="auto"/>
        <w:ind w:firstLine="540"/>
        <w:jc w:val="both"/>
      </w:pPr>
      <w:r>
        <w:rPr>
          <w:sz w:val="24"/>
        </w:rPr>
        <w:t xml:space="preserve">6) документы и сведения, предусмотренные </w:t>
      </w:r>
      <w:hyperlink w:history="0" w:anchor="P99" w:tooltip="11. К заявке прилагаются следующие документы и сведения:">
        <w:r>
          <w:rPr>
            <w:sz w:val="24"/>
            <w:color w:val="0000ff"/>
          </w:rPr>
          <w:t xml:space="preserve">пунктами 11</w:t>
        </w:r>
      </w:hyperlink>
      <w:r>
        <w:rPr>
          <w:sz w:val="24"/>
        </w:rPr>
        <w:t xml:space="preserve"> - </w:t>
      </w:r>
      <w:hyperlink w:history="0" w:anchor="P119" w:tooltip="13. В случае подачи заявки по основанию, предусмотренному подпунктом 5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w:r>
          <w:rPr>
            <w:sz w:val="24"/>
            <w:color w:val="0000ff"/>
          </w:rPr>
          <w:t xml:space="preserve">13</w:t>
        </w:r>
      </w:hyperlink>
      <w:r>
        <w:rPr>
          <w:sz w:val="24"/>
        </w:rPr>
        <w:t xml:space="preserve"> настоящего Порядка (в случае начала процедуры внесения изменений в лицензию на пользование недрами на основании заявки);</w:t>
      </w:r>
    </w:p>
    <w:p>
      <w:pPr>
        <w:pStyle w:val="0"/>
        <w:spacing w:before="240" w:lineRule="auto"/>
        <w:ind w:firstLine="540"/>
        <w:jc w:val="both"/>
      </w:pPr>
      <w:r>
        <w:rPr>
          <w:sz w:val="24"/>
        </w:rPr>
        <w:t xml:space="preserve">7) документы и сведения, предусмотренные </w:t>
      </w:r>
      <w:hyperlink w:history="0" w:anchor="P119" w:tooltip="13. В случае подачи заявки по основанию, предусмотренному подпунктом 5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w:r>
          <w:rPr>
            <w:sz w:val="24"/>
            <w:color w:val="0000ff"/>
          </w:rPr>
          <w:t xml:space="preserve">пунктом 13</w:t>
        </w:r>
      </w:hyperlink>
      <w:r>
        <w:rPr>
          <w:sz w:val="24"/>
        </w:rPr>
        <w:t xml:space="preserve"> настоящего Порядка (в случае начала процедуры внесения изменений в лицензию на пользование недрами по предложению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по основанию, предусмотренному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подпунктом 5 пункта 8</w:t>
        </w:r>
      </w:hyperlink>
      <w:r>
        <w:rPr>
          <w:sz w:val="24"/>
        </w:rPr>
        <w:t xml:space="preserve"> настоящего Порядка).</w:t>
      </w:r>
    </w:p>
    <w:p>
      <w:pPr>
        <w:pStyle w:val="0"/>
        <w:spacing w:before="240" w:lineRule="auto"/>
        <w:ind w:firstLine="540"/>
        <w:jc w:val="both"/>
      </w:pPr>
      <w:r>
        <w:rPr>
          <w:sz w:val="24"/>
        </w:rPr>
        <w:t xml:space="preserve">Лицо, осуществляющее организационное обеспечение деятельности Комиссии в соответствии с </w:t>
      </w:r>
      <w:hyperlink w:history="0" w:anchor="P54" w:tooltip="5. Заседания Комиссии проводятся очно и (или) посредством использования видео-конференц-связи.">
        <w:r>
          <w:rPr>
            <w:sz w:val="24"/>
            <w:color w:val="0000ff"/>
          </w:rPr>
          <w:t xml:space="preserve">пунктом 5</w:t>
        </w:r>
      </w:hyperlink>
      <w:r>
        <w:rPr>
          <w:sz w:val="24"/>
        </w:rPr>
        <w:t xml:space="preserve">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w:t>
      </w:r>
    </w:p>
    <w:bookmarkStart w:id="160" w:name="P160"/>
    <w:bookmarkEnd w:id="160"/>
    <w:p>
      <w:pPr>
        <w:pStyle w:val="0"/>
        <w:spacing w:before="240" w:lineRule="auto"/>
        <w:ind w:firstLine="540"/>
        <w:jc w:val="both"/>
      </w:pPr>
      <w:r>
        <w:rPr>
          <w:sz w:val="24"/>
        </w:rPr>
        <w:t xml:space="preserve">22. Лицо, осуществляющее организационное обеспечение деятельности Комиссии в соответствии с </w:t>
      </w:r>
      <w:hyperlink w:history="0" w:anchor="P54" w:tooltip="5. Заседания Комиссии проводятся очно и (или) посредством использования видео-конференц-связи.">
        <w:r>
          <w:rPr>
            <w:sz w:val="24"/>
            <w:color w:val="0000ff"/>
          </w:rPr>
          <w:t xml:space="preserve">пунктом 5</w:t>
        </w:r>
      </w:hyperlink>
      <w:r>
        <w:rPr>
          <w:sz w:val="24"/>
        </w:rPr>
        <w:t xml:space="preserve"> настоящего Порядка, передает в Комиссию комплект документов по внесению изменений в лицензию на пользование недрами, предусмотренный </w:t>
      </w:r>
      <w:hyperlink w:history="0" w:anchor="P151" w:tooltip="21. Лицо, осуществляющее организационное обеспечение деятельности Комиссии в соответствии с пунктом 5 настоящего Порядка, готовит комплект документов по внесению изменений в лицензию на пользование недрами для рассмотрения Комиссией, который включает в себя следующие документы и сведения в отношении каждого случая внесения изменений в лицензию на пользование недрами:">
        <w:r>
          <w:rPr>
            <w:sz w:val="24"/>
            <w:color w:val="0000ff"/>
          </w:rPr>
          <w:t xml:space="preserve">пунктом 21</w:t>
        </w:r>
      </w:hyperlink>
      <w:r>
        <w:rPr>
          <w:sz w:val="24"/>
        </w:rPr>
        <w:t xml:space="preserve"> настоящего Порядка, в следующие сроки:</w:t>
      </w:r>
    </w:p>
    <w:p>
      <w:pPr>
        <w:pStyle w:val="0"/>
        <w:spacing w:before="240" w:lineRule="auto"/>
        <w:ind w:firstLine="540"/>
        <w:jc w:val="both"/>
      </w:pPr>
      <w:r>
        <w:rPr>
          <w:sz w:val="24"/>
        </w:rPr>
        <w:t xml:space="preserve">1) в течение 15 рабочих дней с даты регистрации заявки и прилагаемых к ней документов и сведений (в случае внесения изменения в лицензию на пользование недрами по основаниям, предусмотренным </w:t>
      </w:r>
      <w:hyperlink w:history="0" w:anchor="P72"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подпунктами 1</w:t>
        </w:r>
      </w:hyperlink>
      <w:r>
        <w:rPr>
          <w:sz w:val="24"/>
        </w:rPr>
        <w:t xml:space="preserve">, </w:t>
      </w:r>
      <w:hyperlink w:history="0" w:anchor="P73" w:tooltip="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w:r>
          <w:rPr>
            <w:sz w:val="24"/>
            <w:color w:val="0000ff"/>
          </w:rPr>
          <w:t xml:space="preserve">2</w:t>
        </w:r>
      </w:hyperlink>
      <w:r>
        <w:rPr>
          <w:sz w:val="24"/>
        </w:rPr>
        <w:t xml:space="preserve">, </w:t>
      </w:r>
      <w:hyperlink w:history="0" w:anchor="P75" w:tooltip="4) установление пользователями недр, указанными в части восьмой статьи 9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0, N 24, ст. 3753), наличия не указанных в лицензии на пользование недрами попутных полезных ископаемых;">
        <w:r>
          <w:rPr>
            <w:sz w:val="24"/>
            <w:color w:val="0000ff"/>
          </w:rPr>
          <w:t xml:space="preserve">4 пункта 8</w:t>
        </w:r>
      </w:hyperlink>
      <w:r>
        <w:rPr>
          <w:sz w:val="24"/>
        </w:rPr>
        <w:t xml:space="preserve"> настоящего Порядка);</w:t>
      </w:r>
    </w:p>
    <w:p>
      <w:pPr>
        <w:pStyle w:val="0"/>
        <w:spacing w:before="240" w:lineRule="auto"/>
        <w:ind w:firstLine="540"/>
        <w:jc w:val="both"/>
      </w:pPr>
      <w:r>
        <w:rPr>
          <w:sz w:val="24"/>
        </w:rPr>
        <w:t xml:space="preserve">2) в течение 15 рабочих дней с даты регистрации заявки и прилагаемых к ней документов и сведений, предусмотренных </w:t>
      </w:r>
      <w:hyperlink w:history="0" w:anchor="P92" w:tooltip="10. Заявка должна содержать:">
        <w:r>
          <w:rPr>
            <w:sz w:val="24"/>
            <w:color w:val="0000ff"/>
          </w:rPr>
          <w:t xml:space="preserve">пунктами 10</w:t>
        </w:r>
      </w:hyperlink>
      <w:r>
        <w:rPr>
          <w:sz w:val="24"/>
        </w:rPr>
        <w:t xml:space="preserve">, </w:t>
      </w:r>
      <w:hyperlink w:history="0" w:anchor="P99" w:tooltip="11. К заявке прилагаются следующие документы и сведения:">
        <w:r>
          <w:rPr>
            <w:sz w:val="24"/>
            <w:color w:val="0000ff"/>
          </w:rPr>
          <w:t xml:space="preserve">11</w:t>
        </w:r>
      </w:hyperlink>
      <w:r>
        <w:rPr>
          <w:sz w:val="24"/>
        </w:rPr>
        <w:t xml:space="preserve"> и </w:t>
      </w:r>
      <w:hyperlink w:history="0" w:anchor="P119" w:tooltip="13. В случае подачи заявки по основанию, предусмотренному подпунктом 5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w:r>
          <w:rPr>
            <w:sz w:val="24"/>
            <w:color w:val="0000ff"/>
          </w:rPr>
          <w:t xml:space="preserve">13</w:t>
        </w:r>
      </w:hyperlink>
      <w:r>
        <w:rPr>
          <w:sz w:val="24"/>
        </w:rPr>
        <w:t xml:space="preserve"> настоящего Порядка (в случае внесения изменения в лицензию на пользование недрами по основанию, предусмотренному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подпунктом 5 пункта 8</w:t>
        </w:r>
      </w:hyperlink>
      <w:r>
        <w:rPr>
          <w:sz w:val="24"/>
        </w:rPr>
        <w:t xml:space="preserve"> настоящего Порядка, в соответствии с заявкой пользователя недр);</w:t>
      </w:r>
    </w:p>
    <w:p>
      <w:pPr>
        <w:pStyle w:val="0"/>
        <w:spacing w:before="240" w:lineRule="auto"/>
        <w:ind w:firstLine="540"/>
        <w:jc w:val="both"/>
      </w:pPr>
      <w:r>
        <w:rPr>
          <w:sz w:val="24"/>
        </w:rPr>
        <w:t xml:space="preserve">3) в течение 5 рабочих дней с момента обнаружения Федеральным агентством по недропользованию или его территориальным органом технической ошибки, который исчисляется датой принятия руководителем (заместителем руководителя) Федерального агентства по недропользованию или его территориального органа решения о начале процедуры внесения изменений в лицензию на пользование недрами (в случае внесения изменения в лицензию на пользование недрами по основанию, предусмотренному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подпунктом 5 пункта 8</w:t>
        </w:r>
      </w:hyperlink>
      <w:r>
        <w:rPr>
          <w:sz w:val="24"/>
        </w:rPr>
        <w:t xml:space="preserve"> настоящего Порядка, в соответствии с предложением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4) в течение 20 рабочих дней с даты принятия Федеральным агентством по недропользованию решения о приведении содержания лицензии на пользование недрами в соответствие с требованиями </w:t>
      </w:r>
      <w:hyperlink w:history="0" r:id="rId38"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или иных федеральных законов (в случае внесения изменения в лицензию на пользование недрами по основанию, предусмотренному </w:t>
      </w:r>
      <w:hyperlink w:history="0" w:anchor="P77" w:tooltip="6) приведение содержания лицензии на пользование недрами в соответствие с требованиями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 или иных федеральных законов;">
        <w:r>
          <w:rPr>
            <w:sz w:val="24"/>
            <w:color w:val="0000ff"/>
          </w:rPr>
          <w:t xml:space="preserve">подпунктом 6 пункта 8</w:t>
        </w:r>
      </w:hyperlink>
      <w:r>
        <w:rPr>
          <w:sz w:val="24"/>
        </w:rPr>
        <w:t xml:space="preserve"> настоящего Порядка);</w:t>
      </w:r>
    </w:p>
    <w:p>
      <w:pPr>
        <w:pStyle w:val="0"/>
        <w:spacing w:before="240" w:lineRule="auto"/>
        <w:ind w:firstLine="540"/>
        <w:jc w:val="both"/>
      </w:pPr>
      <w:r>
        <w:rPr>
          <w:sz w:val="24"/>
        </w:rPr>
        <w:t xml:space="preserve">5) в течение 5 рабочих дней с даты принятия решения об изменении границ участка недр, предоставленного в пользование, в порядке, предусмотренном в соответствии с </w:t>
      </w:r>
      <w:hyperlink w:history="0" r:id="rId39" w:tooltip="Закон РФ от 21.02.1992 N 2395-1 (ред. от 31.07.2025) &quot;О недрах&quot; {КонсультантПлюс}">
        <w:r>
          <w:rPr>
            <w:sz w:val="24"/>
            <w:color w:val="0000ff"/>
          </w:rPr>
          <w:t xml:space="preserve">частью восьмой статьи 7</w:t>
        </w:r>
      </w:hyperlink>
      <w:r>
        <w:rPr>
          <w:sz w:val="24"/>
        </w:rPr>
        <w:t xml:space="preserve"> Закона Российской Федерации "О недрах" (в случае внесения изменения в лицензию на пользование недрами по основанию, предусмотренному </w:t>
      </w:r>
      <w:hyperlink w:history="0" w:anchor="P74" w:tooltip="3) изменение границ участка недр, предоставленного в пользование;">
        <w:r>
          <w:rPr>
            <w:sz w:val="24"/>
            <w:color w:val="0000ff"/>
          </w:rPr>
          <w:t xml:space="preserve">подпунктом 3 пункта 8</w:t>
        </w:r>
      </w:hyperlink>
      <w:r>
        <w:rPr>
          <w:sz w:val="24"/>
        </w:rPr>
        <w:t xml:space="preserve"> настоящего Порядка);</w:t>
      </w:r>
    </w:p>
    <w:p>
      <w:pPr>
        <w:pStyle w:val="0"/>
        <w:spacing w:before="240" w:lineRule="auto"/>
        <w:ind w:firstLine="540"/>
        <w:jc w:val="both"/>
      </w:pPr>
      <w:r>
        <w:rPr>
          <w:sz w:val="24"/>
        </w:rPr>
        <w:t xml:space="preserve">6) в течение 10 рабочих дней с даты поступления в адрес Федерального агентства по недропользованию или его территориального органа информации об изменении наименования юридического лица - пользователя недр из единого государственного реестра юридических лиц (в случае внесения изменения в лицензию на пользование недрами по основанию, предусмотренному </w:t>
      </w:r>
      <w:hyperlink w:history="0" w:anchor="P78" w:tooltip="7) изменение наименования юридического лица - пользователя недр;">
        <w:r>
          <w:rPr>
            <w:sz w:val="24"/>
            <w:color w:val="0000ff"/>
          </w:rPr>
          <w:t xml:space="preserve">подпунктом 7 пункта 8</w:t>
        </w:r>
      </w:hyperlink>
      <w:r>
        <w:rPr>
          <w:sz w:val="24"/>
        </w:rPr>
        <w:t xml:space="preserve"> настоящего Порядка);</w:t>
      </w:r>
    </w:p>
    <w:p>
      <w:pPr>
        <w:pStyle w:val="0"/>
        <w:spacing w:before="240" w:lineRule="auto"/>
        <w:ind w:firstLine="540"/>
        <w:jc w:val="both"/>
      </w:pPr>
      <w:r>
        <w:rPr>
          <w:sz w:val="24"/>
        </w:rPr>
        <w:t xml:space="preserve">7) в течение 10 рабочих дней с даты поступления в адрес Федерального агентства по недропользованию или его территориального органа документов, которые удостоверяют уточненные границы горного отвода (в случае внесения изменения в лицензию на пользование недрами по основанию, предусмотренному </w:t>
      </w:r>
      <w:hyperlink w:history="0" w:anchor="P79" w:tooltip="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w:r>
          <w:rPr>
            <w:sz w:val="24"/>
            <w:color w:val="0000ff"/>
          </w:rPr>
          <w:t xml:space="preserve">подпунктом 8 пункта 8</w:t>
        </w:r>
      </w:hyperlink>
      <w:r>
        <w:rPr>
          <w:sz w:val="24"/>
        </w:rPr>
        <w:t xml:space="preserve"> настоящего Порядка);</w:t>
      </w:r>
    </w:p>
    <w:p>
      <w:pPr>
        <w:pStyle w:val="0"/>
        <w:spacing w:before="240" w:lineRule="auto"/>
        <w:ind w:firstLine="540"/>
        <w:jc w:val="both"/>
      </w:pPr>
      <w:r>
        <w:rPr>
          <w:sz w:val="24"/>
        </w:rPr>
        <w:t xml:space="preserve">8) в течение 10 рабочих дней со дня вынесения органом, указанным в </w:t>
      </w:r>
      <w:hyperlink w:history="0" w:anchor="P240" w:tooltip="41.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quot;Росгеолэкспертиза&quot;, а также решение Комиссии, создаваемой территориальным органом Федерального агентства по недропользованию, посредством подачи жалобы в Федеральное агентство по недропользованию на имя руководителя (заместителя руководителя) Федерального агентства по недропользованию.">
        <w:r>
          <w:rPr>
            <w:sz w:val="24"/>
            <w:color w:val="0000ff"/>
          </w:rPr>
          <w:t xml:space="preserve">пункте 41</w:t>
        </w:r>
      </w:hyperlink>
      <w:r>
        <w:rPr>
          <w:sz w:val="24"/>
        </w:rPr>
        <w:t xml:space="preserve"> настоящего Порядка, решения о признании жалобы пользователя недр на решение о внесении изменений в лицензию на пользование недрами или об отказе во внесении изменений в лицензию на пользование недрами обоснованной.</w:t>
      </w:r>
    </w:p>
    <w:p>
      <w:pPr>
        <w:pStyle w:val="0"/>
        <w:spacing w:before="240" w:lineRule="auto"/>
        <w:ind w:firstLine="540"/>
        <w:jc w:val="both"/>
      </w:pPr>
      <w:r>
        <w:rPr>
          <w:sz w:val="24"/>
        </w:rPr>
        <w:t xml:space="preserve">При подготовке документов по внесению изменений в лицензии на пользование недрами на основании заявки пользователя недр, предусмотренной </w:t>
      </w:r>
      <w:hyperlink w:history="0" w:anchor="P90" w:tooltip="1) заявка пользователя недр;">
        <w:r>
          <w:rPr>
            <w:sz w:val="24"/>
            <w:color w:val="0000ff"/>
          </w:rPr>
          <w:t xml:space="preserve">подпунктом 1 пункта 9</w:t>
        </w:r>
      </w:hyperlink>
      <w:r>
        <w:rPr>
          <w:sz w:val="24"/>
        </w:rPr>
        <w:t xml:space="preserve"> настоящего Порядка, для рассмотрения Комиссией органы, указанные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при наличии оснований, предусмотренных </w:t>
      </w:r>
      <w:hyperlink w:history="0" w:anchor="P73" w:tooltip="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w:r>
          <w:rPr>
            <w:sz w:val="24"/>
            <w:color w:val="0000ff"/>
          </w:rPr>
          <w:t xml:space="preserve">подпунктами 2</w:t>
        </w:r>
      </w:hyperlink>
      <w:r>
        <w:rPr>
          <w:sz w:val="24"/>
        </w:rPr>
        <w:t xml:space="preserve">, </w:t>
      </w:r>
      <w:hyperlink w:history="0" w:anchor="P74" w:tooltip="3) изменение границ участка недр, предоставленного в пользование;">
        <w:r>
          <w:rPr>
            <w:sz w:val="24"/>
            <w:color w:val="0000ff"/>
          </w:rPr>
          <w:t xml:space="preserve">3</w:t>
        </w:r>
      </w:hyperlink>
      <w:r>
        <w:rPr>
          <w:sz w:val="24"/>
        </w:rPr>
        <w:t xml:space="preserve">, </w:t>
      </w:r>
      <w:hyperlink w:history="0" w:anchor="P77" w:tooltip="6) приведение содержания лицензии на пользование недрами в соответствие с требованиями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 или иных федеральных законов;">
        <w:r>
          <w:rPr>
            <w:sz w:val="24"/>
            <w:color w:val="0000ff"/>
          </w:rPr>
          <w:t xml:space="preserve">6</w:t>
        </w:r>
      </w:hyperlink>
      <w:r>
        <w:rPr>
          <w:sz w:val="24"/>
        </w:rPr>
        <w:t xml:space="preserve"> - </w:t>
      </w:r>
      <w:hyperlink w:history="0" w:anchor="P79" w:tooltip="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w:r>
          <w:rPr>
            <w:sz w:val="24"/>
            <w:color w:val="0000ff"/>
          </w:rPr>
          <w:t xml:space="preserve">8 пункта 8</w:t>
        </w:r>
      </w:hyperlink>
      <w:r>
        <w:rPr>
          <w:sz w:val="24"/>
        </w:rPr>
        <w:t xml:space="preserve"> настоящего Порядка, направляют предложения о внесении дополнительных изменений в лицензию по данным основаниям.</w:t>
      </w:r>
    </w:p>
    <w:p>
      <w:pPr>
        <w:pStyle w:val="0"/>
        <w:spacing w:before="240" w:lineRule="auto"/>
        <w:ind w:firstLine="540"/>
        <w:jc w:val="both"/>
      </w:pPr>
      <w:r>
        <w:rPr>
          <w:sz w:val="24"/>
        </w:rPr>
        <w:t xml:space="preserve">23. Секретарь Комиссии на основании комплекта документов по внесению изменений в лицензию на пользование недрами, предусмотренного </w:t>
      </w:r>
      <w:hyperlink w:history="0" w:anchor="P151" w:tooltip="21. Лицо, осуществляющее организационное обеспечение деятельности Комиссии в соответствии с пунктом 5 настоящего Порядка, готовит комплект документов по внесению изменений в лицензию на пользование недрами для рассмотрения Комиссией, который включает в себя следующие документы и сведения в отношении каждого случая внесения изменений в лицензию на пользование недрами:">
        <w:r>
          <w:rPr>
            <w:sz w:val="24"/>
            <w:color w:val="0000ff"/>
          </w:rPr>
          <w:t xml:space="preserve">пунктом 21</w:t>
        </w:r>
      </w:hyperlink>
      <w:r>
        <w:rPr>
          <w:sz w:val="24"/>
        </w:rPr>
        <w:t xml:space="preserve"> настоящего Порядка, осуществляет подготовку проекта повестки заседания Комиссии, содержащего сведения, предусмотренные </w:t>
      </w:r>
      <w:hyperlink w:history="0" w:anchor="P199" w:tooltip="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
        <w:r>
          <w:rPr>
            <w:sz w:val="24"/>
            <w:color w:val="0000ff"/>
          </w:rPr>
          <w:t xml:space="preserve">подпунктами 1</w:t>
        </w:r>
      </w:hyperlink>
      <w:r>
        <w:rPr>
          <w:sz w:val="24"/>
        </w:rPr>
        <w:t xml:space="preserve"> - </w:t>
      </w:r>
      <w:hyperlink w:history="0" w:anchor="P207" w:tooltip="9) содержание предлагаемых изменений в лицензию на пользование недрами, указание причин необходимости этих изменений;">
        <w:r>
          <w:rPr>
            <w:sz w:val="24"/>
            <w:color w:val="0000ff"/>
          </w:rPr>
          <w:t xml:space="preserve">9 пункта 33</w:t>
        </w:r>
      </w:hyperlink>
      <w:r>
        <w:rPr>
          <w:sz w:val="24"/>
        </w:rPr>
        <w:t xml:space="preserve"> настоящего Порядка.</w:t>
      </w:r>
    </w:p>
    <w:p>
      <w:pPr>
        <w:pStyle w:val="0"/>
        <w:spacing w:before="240" w:lineRule="auto"/>
        <w:ind w:firstLine="540"/>
        <w:jc w:val="both"/>
      </w:pPr>
      <w:r>
        <w:rPr>
          <w:sz w:val="24"/>
        </w:rPr>
        <w:t xml:space="preserve">Секретарь Комиссии направляет всем членам Комиссии на адреса их электронной почты подготовленный проект повестки заседания Комиссии, содержащий сведения, предусмотренные </w:t>
      </w:r>
      <w:hyperlink w:history="0" w:anchor="P199" w:tooltip="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
        <w:r>
          <w:rPr>
            <w:sz w:val="24"/>
            <w:color w:val="0000ff"/>
          </w:rPr>
          <w:t xml:space="preserve">подпунктами 1</w:t>
        </w:r>
      </w:hyperlink>
      <w:r>
        <w:rPr>
          <w:sz w:val="24"/>
        </w:rPr>
        <w:t xml:space="preserve"> - </w:t>
      </w:r>
      <w:hyperlink w:history="0" w:anchor="P207" w:tooltip="9) содержание предлагаемых изменений в лицензию на пользование недрами, указание причин необходимости этих изменений;">
        <w:r>
          <w:rPr>
            <w:sz w:val="24"/>
            <w:color w:val="0000ff"/>
          </w:rPr>
          <w:t xml:space="preserve">9 пункта 33</w:t>
        </w:r>
      </w:hyperlink>
      <w:r>
        <w:rPr>
          <w:sz w:val="24"/>
        </w:rPr>
        <w:t xml:space="preserve"> настоящего Порядка, и извещение о проведении заседания Комиссии не позднее чем за 7 рабочих дней до даты ее заседания.</w:t>
      </w:r>
    </w:p>
    <w:bookmarkStart w:id="172" w:name="P172"/>
    <w:bookmarkEnd w:id="172"/>
    <w:p>
      <w:pPr>
        <w:pStyle w:val="0"/>
        <w:spacing w:before="240" w:lineRule="auto"/>
        <w:ind w:firstLine="540"/>
        <w:jc w:val="both"/>
      </w:pPr>
      <w:r>
        <w:rPr>
          <w:sz w:val="24"/>
        </w:rPr>
        <w:t xml:space="preserve">Извещение о проведении заседания Комиссии должно содержать сведения о дате и месте проведения заседания Комиссии, способе участия членов Комиссии и пользователя недр в заседании (очно и (или) с использованием видео-конференц-связи).</w:t>
      </w:r>
    </w:p>
    <w:p>
      <w:pPr>
        <w:pStyle w:val="0"/>
        <w:spacing w:before="240" w:lineRule="auto"/>
        <w:ind w:firstLine="540"/>
        <w:jc w:val="both"/>
      </w:pPr>
      <w:r>
        <w:rPr>
          <w:sz w:val="24"/>
        </w:rPr>
        <w:t xml:space="preserve">Секретарь Комиссии в день направления извещения о проведении заседания Комиссии, предусмотренного </w:t>
      </w:r>
      <w:hyperlink w:history="0" w:anchor="P172" w:tooltip="Извещение о проведении заседания Комиссии должно содержать сведения о дате и месте проведения заседания Комиссии, способе участия членов Комиссии и пользователя недр в заседании (очно и (или) с использованием видео-конференц-связи).">
        <w:r>
          <w:rPr>
            <w:sz w:val="24"/>
            <w:color w:val="0000ff"/>
          </w:rPr>
          <w:t xml:space="preserve">абзацем третьим</w:t>
        </w:r>
      </w:hyperlink>
      <w:r>
        <w:rPr>
          <w:sz w:val="24"/>
        </w:rPr>
        <w:t xml:space="preserve"> настоящего пункта, обеспечивает возможность ознакомления членов Комиссии с документами и сведениями, предусмотренными </w:t>
      </w:r>
      <w:hyperlink w:history="0" w:anchor="P92" w:tooltip="10. Заявка должна содержать:">
        <w:r>
          <w:rPr>
            <w:sz w:val="24"/>
            <w:color w:val="0000ff"/>
          </w:rPr>
          <w:t xml:space="preserve">пунктами 10</w:t>
        </w:r>
      </w:hyperlink>
      <w:r>
        <w:rPr>
          <w:sz w:val="24"/>
        </w:rPr>
        <w:t xml:space="preserve"> - </w:t>
      </w:r>
      <w:hyperlink w:history="0" w:anchor="P119" w:tooltip="13. В случае подачи заявки по основанию, предусмотренному подпунктом 5 пункта 8 настоящего Порядка, помимо документов и сведений, предусмотренных пунктом 11 настоящего Порядка, к заявке прилагаются следующие документы и сведения:">
        <w:r>
          <w:rPr>
            <w:sz w:val="24"/>
            <w:color w:val="0000ff"/>
          </w:rPr>
          <w:t xml:space="preserve">13</w:t>
        </w:r>
      </w:hyperlink>
      <w:r>
        <w:rPr>
          <w:sz w:val="24"/>
        </w:rPr>
        <w:t xml:space="preserve">, </w:t>
      </w:r>
      <w:hyperlink w:history="0" w:anchor="P143" w:tooltip="20. Решение руководителя (заместителя руководителя) Федерального агентства по недропользованию о приведении содержания лицензии на пользование недрами в соответствие с требованиями Закона Российской Федерации &quot;О недрах&quot; или иных федеральных законов должно содержать:">
        <w:r>
          <w:rPr>
            <w:sz w:val="24"/>
            <w:color w:val="0000ff"/>
          </w:rPr>
          <w:t xml:space="preserve">20</w:t>
        </w:r>
      </w:hyperlink>
      <w:r>
        <w:rPr>
          <w:sz w:val="24"/>
        </w:rPr>
        <w:t xml:space="preserve"> и </w:t>
      </w:r>
      <w:hyperlink w:history="0" w:anchor="P151" w:tooltip="21. Лицо, осуществляющее организационное обеспечение деятельности Комиссии в соответствии с пунктом 5 настоящего Порядка, готовит комплект документов по внесению изменений в лицензию на пользование недрами для рассмотрения Комиссией, который включает в себя следующие документы и сведения в отношении каждого случая внесения изменений в лицензию на пользование недрами:">
        <w:r>
          <w:rPr>
            <w:sz w:val="24"/>
            <w:color w:val="0000ff"/>
          </w:rPr>
          <w:t xml:space="preserve">21</w:t>
        </w:r>
      </w:hyperlink>
      <w:r>
        <w:rPr>
          <w:sz w:val="24"/>
        </w:rPr>
        <w:t xml:space="preserve"> настоящего Порядка, с использованием федеральной государственной информационной системы "Автоматизированная система лицензирования недропользования".</w:t>
      </w:r>
    </w:p>
    <w:p>
      <w:pPr>
        <w:pStyle w:val="0"/>
        <w:spacing w:before="240" w:lineRule="auto"/>
        <w:ind w:firstLine="540"/>
        <w:jc w:val="both"/>
      </w:pPr>
      <w:r>
        <w:rPr>
          <w:sz w:val="24"/>
        </w:rPr>
        <w:t xml:space="preserve">Секретарь Комиссии направляет заявителю с использованием Личного кабинета недропользователя и (или) на электронную почту (при наличии), или почтовым отправлением по адресу, указанному в заявке, извещение о рассмотрении на заседании Комиссии комплекта документов по внесению изменений в лицензию на пользование недрами по основаниям, предусмотренным </w:t>
      </w:r>
      <w:hyperlink w:history="0" w:anchor="P72"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подпунктами 1</w:t>
        </w:r>
      </w:hyperlink>
      <w:r>
        <w:rPr>
          <w:sz w:val="24"/>
        </w:rPr>
        <w:t xml:space="preserve"> -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 пункта 8</w:t>
        </w:r>
      </w:hyperlink>
      <w:r>
        <w:rPr>
          <w:sz w:val="24"/>
        </w:rPr>
        <w:t xml:space="preserve"> настоящего Порядка, не позднее, чем за 7 рабочих дней до даты ее заседания.</w:t>
      </w:r>
    </w:p>
    <w:p>
      <w:pPr>
        <w:pStyle w:val="0"/>
        <w:spacing w:before="240" w:lineRule="auto"/>
        <w:ind w:firstLine="540"/>
        <w:jc w:val="both"/>
      </w:pPr>
      <w:r>
        <w:rPr>
          <w:sz w:val="24"/>
        </w:rPr>
        <w:t xml:space="preserve">24. Секретарь Комиссии не позднее чем за 1 рабочий день до даты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 Секретарь Комиссии не позднее чем за 1 рабочий день до заседания Комиссии направляет пользователю недр с использованием Личного кабинета недропользователя и (или) на электронную почту (при наличии), информацию для подключения к заседанию Комиссии с использованием видео-конференц-связи в случае рассмотрения на заседании Комиссии комплекта документов по внесению изменений в лицензию на пользование недрами по основаниям, предусмотренным </w:t>
      </w:r>
      <w:hyperlink w:history="0" w:anchor="P72"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подпунктами 1</w:t>
        </w:r>
      </w:hyperlink>
      <w:r>
        <w:rPr>
          <w:sz w:val="24"/>
        </w:rPr>
        <w:t xml:space="preserve"> -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 пункта 8</w:t>
        </w:r>
      </w:hyperlink>
      <w:r>
        <w:rPr>
          <w:sz w:val="24"/>
        </w:rPr>
        <w:t xml:space="preserve"> настоящего Порядка.</w:t>
      </w:r>
    </w:p>
    <w:p>
      <w:pPr>
        <w:pStyle w:val="0"/>
        <w:jc w:val="both"/>
      </w:pPr>
      <w:r>
        <w:rPr>
          <w:sz w:val="24"/>
        </w:rPr>
      </w:r>
    </w:p>
    <w:p>
      <w:pPr>
        <w:pStyle w:val="2"/>
        <w:outlineLvl w:val="1"/>
        <w:jc w:val="center"/>
      </w:pPr>
      <w:r>
        <w:rPr>
          <w:sz w:val="24"/>
        </w:rPr>
        <w:t xml:space="preserve">IV. Рассмотрение документов по внесению изменений в лицензии</w:t>
      </w:r>
    </w:p>
    <w:p>
      <w:pPr>
        <w:pStyle w:val="2"/>
        <w:jc w:val="center"/>
      </w:pPr>
      <w:r>
        <w:rPr>
          <w:sz w:val="24"/>
        </w:rPr>
        <w:t xml:space="preserve">на пользование недрами Комиссией</w:t>
      </w:r>
    </w:p>
    <w:p>
      <w:pPr>
        <w:pStyle w:val="0"/>
        <w:jc w:val="both"/>
      </w:pPr>
      <w:r>
        <w:rPr>
          <w:sz w:val="24"/>
        </w:rPr>
      </w:r>
    </w:p>
    <w:p>
      <w:pPr>
        <w:pStyle w:val="0"/>
        <w:ind w:firstLine="540"/>
        <w:jc w:val="both"/>
      </w:pPr>
      <w:r>
        <w:rPr>
          <w:sz w:val="24"/>
        </w:rPr>
        <w:t xml:space="preserve">25. На заседании Комиссии осуществляется рассмотрение комплекта документов по внесению изменений в лицензии на пользование недрами, предусмотренного </w:t>
      </w:r>
      <w:hyperlink w:history="0" w:anchor="P151" w:tooltip="21. Лицо, осуществляющее организационное обеспечение деятельности Комиссии в соответствии с пунктом 5 настоящего Порядка, готовит комплект документов по внесению изменений в лицензию на пользование недрами для рассмотрения Комиссией, который включает в себя следующие документы и сведения в отношении каждого случая внесения изменений в лицензию на пользование недрами:">
        <w:r>
          <w:rPr>
            <w:sz w:val="24"/>
            <w:color w:val="0000ff"/>
          </w:rPr>
          <w:t xml:space="preserve">пунктом 21</w:t>
        </w:r>
      </w:hyperlink>
      <w:r>
        <w:rPr>
          <w:sz w:val="24"/>
        </w:rPr>
        <w:t xml:space="preserve"> настоящего Порядка, на предмет наличия (отсутствия) оснований для внесения изменений в лицензию на пользование недрами, предусмотренных </w:t>
      </w:r>
      <w:hyperlink w:history="0" w:anchor="P71" w:tooltip="8. В соответствии с частью пя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по следующим основаниям:">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26. При рассмотрении комплекта документов, предусмотренного </w:t>
      </w:r>
      <w:hyperlink w:history="0" w:anchor="P151" w:tooltip="21. Лицо, осуществляющее организационное обеспечение деятельности Комиссии в соответствии с пунктом 5 настоящего Порядка, готовит комплект документов по внесению изменений в лицензию на пользование недрами для рассмотрения Комиссией, который включает в себя следующие документы и сведения в отношении каждого случая внесения изменений в лицензию на пользование недрами:">
        <w:r>
          <w:rPr>
            <w:sz w:val="24"/>
            <w:color w:val="0000ff"/>
          </w:rPr>
          <w:t xml:space="preserve">пунктом 21</w:t>
        </w:r>
      </w:hyperlink>
      <w:r>
        <w:rPr>
          <w:sz w:val="24"/>
        </w:rPr>
        <w:t xml:space="preserve"> настоящего Порядка,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представленного на рассмотрение комплекта документов, задавать вопросы другим членам Комиссии, представлять особое мнение, прилагаемое к протоколу заседания Комиссии.</w:t>
      </w:r>
    </w:p>
    <w:p>
      <w:pPr>
        <w:pStyle w:val="0"/>
        <w:spacing w:before="240" w:lineRule="auto"/>
        <w:ind w:firstLine="540"/>
        <w:jc w:val="both"/>
      </w:pPr>
      <w:r>
        <w:rPr>
          <w:sz w:val="24"/>
        </w:rPr>
        <w:t xml:space="preserve">Заседание Комиссии является правомочным в случае присутствия на нем не менее половины членов Комиссии. Решения Комиссии принимаются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Комиссии.</w:t>
      </w:r>
    </w:p>
    <w:p>
      <w:pPr>
        <w:pStyle w:val="0"/>
        <w:spacing w:before="240" w:lineRule="auto"/>
        <w:ind w:firstLine="540"/>
        <w:jc w:val="both"/>
      </w:pPr>
      <w:r>
        <w:rPr>
          <w:sz w:val="24"/>
        </w:rPr>
        <w:t xml:space="preserve">27. В случае возникновения обстоятельств непреодолимой силы в соответствии с </w:t>
      </w:r>
      <w:hyperlink w:history="0" r:id="rId4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заседания, но не более чем на 5 рабочих дней.</w:t>
      </w:r>
    </w:p>
    <w:p>
      <w:pPr>
        <w:pStyle w:val="0"/>
        <w:spacing w:before="240" w:lineRule="auto"/>
        <w:ind w:firstLine="540"/>
        <w:jc w:val="both"/>
      </w:pPr>
      <w:r>
        <w:rPr>
          <w:sz w:val="24"/>
        </w:rPr>
        <w:t xml:space="preserve">28. В случае, если в ходе рассмотрения и анализа комплекта документов, предусмотренного </w:t>
      </w:r>
      <w:hyperlink w:history="0" w:anchor="P151" w:tooltip="21. Лицо, осуществляющее организационное обеспечение деятельности Комиссии в соответствии с пунктом 5 настоящего Порядка, готовит комплект документов по внесению изменений в лицензию на пользование недрами для рассмотрения Комиссией, который включает в себя следующие документы и сведения в отношении каждого случая внесения изменений в лицензию на пользование недрами:">
        <w:r>
          <w:rPr>
            <w:sz w:val="24"/>
            <w:color w:val="0000ff"/>
          </w:rPr>
          <w:t xml:space="preserve">пунктом 21</w:t>
        </w:r>
      </w:hyperlink>
      <w:r>
        <w:rPr>
          <w:sz w:val="24"/>
        </w:rPr>
        <w:t xml:space="preserve"> настоящего Порядка, Комиссией установлено наличие иных оснований, предусмотренных </w:t>
      </w:r>
      <w:hyperlink w:history="0" w:anchor="P73" w:tooltip="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w:r>
          <w:rPr>
            <w:sz w:val="24"/>
            <w:color w:val="0000ff"/>
          </w:rPr>
          <w:t xml:space="preserve">подпунктами 2</w:t>
        </w:r>
      </w:hyperlink>
      <w:r>
        <w:rPr>
          <w:sz w:val="24"/>
        </w:rPr>
        <w:t xml:space="preserve">, </w:t>
      </w:r>
      <w:hyperlink w:history="0" w:anchor="P74" w:tooltip="3) изменение границ участка недр, предоставленного в пользование;">
        <w:r>
          <w:rPr>
            <w:sz w:val="24"/>
            <w:color w:val="0000ff"/>
          </w:rPr>
          <w:t xml:space="preserve">3</w:t>
        </w:r>
      </w:hyperlink>
      <w:r>
        <w:rPr>
          <w:sz w:val="24"/>
        </w:rPr>
        <w:t xml:space="preserve">, </w:t>
      </w:r>
      <w:hyperlink w:history="0" w:anchor="P77" w:tooltip="6) приведение содержания лицензии на пользование недрами в соответствие с требованиями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 или иных федеральных законов;">
        <w:r>
          <w:rPr>
            <w:sz w:val="24"/>
            <w:color w:val="0000ff"/>
          </w:rPr>
          <w:t xml:space="preserve">6</w:t>
        </w:r>
      </w:hyperlink>
      <w:r>
        <w:rPr>
          <w:sz w:val="24"/>
        </w:rPr>
        <w:t xml:space="preserve"> - </w:t>
      </w:r>
      <w:hyperlink w:history="0" w:anchor="P79" w:tooltip="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w:r>
          <w:rPr>
            <w:sz w:val="24"/>
            <w:color w:val="0000ff"/>
          </w:rPr>
          <w:t xml:space="preserve">8 пункта 8</w:t>
        </w:r>
      </w:hyperlink>
      <w:r>
        <w:rPr>
          <w:sz w:val="24"/>
        </w:rPr>
        <w:t xml:space="preserve"> настоящего Порядка, Комиссия принимает решение о внесении изменений в лицензию по данным дополнительным основаниям.</w:t>
      </w:r>
    </w:p>
    <w:p>
      <w:pPr>
        <w:pStyle w:val="0"/>
        <w:spacing w:before="240" w:lineRule="auto"/>
        <w:ind w:firstLine="540"/>
        <w:jc w:val="both"/>
      </w:pPr>
      <w:r>
        <w:rPr>
          <w:sz w:val="24"/>
        </w:rPr>
        <w:t xml:space="preserve">В случае, если предложения пользователя недр или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по внесению изменений в лицензию на пользование недрами не соответствуют основаниям внесения изменений в лицензию на пользование недрами, предусмотренным </w:t>
      </w:r>
      <w:hyperlink w:history="0" r:id="rId41"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и (или) требованиям рационального использования и охраны недр, предусмотренным </w:t>
      </w:r>
      <w:hyperlink w:history="0" r:id="rId42" w:tooltip="Закон РФ от 21.02.1992 N 2395-1 (ред. от 31.07.2025) &quot;О недрах&quot; {КонсультантПлюс}">
        <w:r>
          <w:rPr>
            <w:sz w:val="24"/>
            <w:color w:val="0000ff"/>
          </w:rPr>
          <w:t xml:space="preserve">статьей 23</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и (или) утвержденной проектной документации, предусмотренной </w:t>
      </w:r>
      <w:hyperlink w:history="0" r:id="rId43" w:tooltip="Закон РФ от 21.02.1992 N 2395-1 (ред. от 31.07.2025) &quot;О недрах&quot; {КонсультантПлюс}">
        <w:r>
          <w:rPr>
            <w:sz w:val="24"/>
            <w:color w:val="0000ff"/>
          </w:rPr>
          <w:t xml:space="preserve">статьями 23.2</w:t>
        </w:r>
      </w:hyperlink>
      <w:r>
        <w:rPr>
          <w:sz w:val="24"/>
        </w:rPr>
        <w:t xml:space="preserve"> и </w:t>
      </w:r>
      <w:hyperlink w:history="0" r:id="rId44" w:tooltip="Закон РФ от 21.02.1992 N 2395-1 (ред. от 31.07.2025) &quot;О недрах&quot; {КонсультантПлюс}">
        <w:r>
          <w:rPr>
            <w:sz w:val="24"/>
            <w:color w:val="0000ff"/>
          </w:rPr>
          <w:t xml:space="preserve">36.1</w:t>
        </w:r>
      </w:hyperlink>
      <w:r>
        <w:rPr>
          <w:sz w:val="24"/>
        </w:rPr>
        <w:t xml:space="preserve"> Закона Российской Федерации "О недрах" (если для подтверждения наличия основания, предусмотренного </w:t>
      </w:r>
      <w:hyperlink w:history="0" w:anchor="P71" w:tooltip="8. В соответствии с частью пя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по следующим основаниям:">
        <w:r>
          <w:rPr>
            <w:sz w:val="24"/>
            <w:color w:val="0000ff"/>
          </w:rPr>
          <w:t xml:space="preserve">пунктом 8</w:t>
        </w:r>
      </w:hyperlink>
      <w:r>
        <w:rPr>
          <w:sz w:val="24"/>
        </w:rPr>
        <w:t xml:space="preserve"> настоящего Порядка, указана такая проектная документация), и (или) заключению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предусмотренному </w:t>
      </w:r>
      <w:hyperlink w:history="0" r:id="rId45"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 Комиссия принимает решение об отказе во внесении предлагаемых пользователем недр или органами, указанными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изменений в лицензию на пользование недрами.</w:t>
      </w:r>
    </w:p>
    <w:p>
      <w:pPr>
        <w:pStyle w:val="0"/>
        <w:spacing w:before="240" w:lineRule="auto"/>
        <w:ind w:firstLine="540"/>
        <w:jc w:val="both"/>
      </w:pPr>
      <w:r>
        <w:rPr>
          <w:sz w:val="24"/>
        </w:rPr>
        <w:t xml:space="preserve">В случае если предложения пользователя недр или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по внесению изменений в лицензию на пользование недрами соответствуют основаниям внесения изменений в лицензию на пользование недрами, предусмотренным </w:t>
      </w:r>
      <w:hyperlink w:history="0" r:id="rId46"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требованиям рационального использования и охраны недр, утвержденной проектной документации, предусмотренной </w:t>
      </w:r>
      <w:hyperlink w:history="0" r:id="rId47" w:tooltip="Закон РФ от 21.02.1992 N 2395-1 (ред. от 31.07.2025) &quot;О недрах&quot; {КонсультантПлюс}">
        <w:r>
          <w:rPr>
            <w:sz w:val="24"/>
            <w:color w:val="0000ff"/>
          </w:rPr>
          <w:t xml:space="preserve">статьями 23.2</w:t>
        </w:r>
      </w:hyperlink>
      <w:r>
        <w:rPr>
          <w:sz w:val="24"/>
        </w:rPr>
        <w:t xml:space="preserve"> и </w:t>
      </w:r>
      <w:hyperlink w:history="0" r:id="rId48" w:tooltip="Закон РФ от 21.02.1992 N 2395-1 (ред. от 31.07.2025) &quot;О недрах&quot; {КонсультантПлюс}">
        <w:r>
          <w:rPr>
            <w:sz w:val="24"/>
            <w:color w:val="0000ff"/>
          </w:rPr>
          <w:t xml:space="preserve">36.1</w:t>
        </w:r>
      </w:hyperlink>
      <w:r>
        <w:rPr>
          <w:sz w:val="24"/>
        </w:rPr>
        <w:t xml:space="preserve"> Закона Российской Федерации "О недрах" (если для подтверждения наличия основания, предусмотренного </w:t>
      </w:r>
      <w:hyperlink w:history="0" w:anchor="P71" w:tooltip="8. В соответствии с частью пя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по следующим основаниям:">
        <w:r>
          <w:rPr>
            <w:sz w:val="24"/>
            <w:color w:val="0000ff"/>
          </w:rPr>
          <w:t xml:space="preserve">пунктом 8</w:t>
        </w:r>
      </w:hyperlink>
      <w:r>
        <w:rPr>
          <w:sz w:val="24"/>
        </w:rPr>
        <w:t xml:space="preserve"> настоящего Порядка, указана такая проектная документация), и заключению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предусмотренному </w:t>
      </w:r>
      <w:hyperlink w:history="0" r:id="rId49"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 Комиссия принимает решение о внесении предлагаемых пользователем недр или органами, указанными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изменений в лицензию на пользование недрами.</w:t>
      </w:r>
    </w:p>
    <w:p>
      <w:pPr>
        <w:pStyle w:val="0"/>
        <w:spacing w:before="240" w:lineRule="auto"/>
        <w:ind w:firstLine="540"/>
        <w:jc w:val="both"/>
      </w:pPr>
      <w:r>
        <w:rPr>
          <w:sz w:val="24"/>
        </w:rPr>
        <w:t xml:space="preserve">29. При рассмотрении на заседании Комиссии документов по внесению изменений в лицензию на пользование недрами Комиссия также учитывает поступившие в адрес Федерального агентства по недропользованию или его территориального органа от федеральных органов государственной власти, наделенных полномочиями по осуществлению государственного контроля (надзора), акты контрольных (надзорных) мероприятий в отношении соответствующего пользователя недр, а также предписания об устранении соответствующим пользователем недр выявленных нарушений (при наличии).</w:t>
      </w:r>
    </w:p>
    <w:bookmarkStart w:id="188" w:name="P188"/>
    <w:bookmarkEnd w:id="188"/>
    <w:p>
      <w:pPr>
        <w:pStyle w:val="0"/>
        <w:spacing w:before="240" w:lineRule="auto"/>
        <w:ind w:firstLine="540"/>
        <w:jc w:val="both"/>
      </w:pPr>
      <w:r>
        <w:rPr>
          <w:sz w:val="24"/>
        </w:rPr>
        <w:t xml:space="preserve">30. По результатам рассмотрения комплекта документов по внесению изменений в лицензии на пользование недрами, предусмотренного </w:t>
      </w:r>
      <w:hyperlink w:history="0" w:anchor="P151" w:tooltip="21. Лицо, осуществляющее организационное обеспечение деятельности Комиссии в соответствии с пунктом 5 настоящего Порядка, готовит комплект документов по внесению изменений в лицензию на пользование недрами для рассмотрения Комиссией, который включает в себя следующие документы и сведения в отношении каждого случая внесения изменений в лицензию на пользование недрами:">
        <w:r>
          <w:rPr>
            <w:sz w:val="24"/>
            <w:color w:val="0000ff"/>
          </w:rPr>
          <w:t xml:space="preserve">пунктом 21</w:t>
        </w:r>
      </w:hyperlink>
      <w:r>
        <w:rPr>
          <w:sz w:val="24"/>
        </w:rPr>
        <w:t xml:space="preserve"> настоящего Порядка, Комиссия вправе принять следующие решения:</w:t>
      </w:r>
    </w:p>
    <w:p>
      <w:pPr>
        <w:pStyle w:val="0"/>
        <w:spacing w:before="240" w:lineRule="auto"/>
        <w:ind w:firstLine="540"/>
        <w:jc w:val="both"/>
      </w:pPr>
      <w:r>
        <w:rPr>
          <w:sz w:val="24"/>
        </w:rPr>
        <w:t xml:space="preserve">1) о внесении изменений в лицензию на пользование недрами в соответствии с предложениями пользователя недр, органов, указанных в </w:t>
      </w:r>
      <w:hyperlink w:history="0" w:anchor="P49" w:tooltip="2. В соответствии с пунктом 1 части шестой статьи 12.1 Закона Российской Федерации от 21 февраля 1992 г. N 2395-1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Федеральным агентством по недропользованию, его территориальными органами и Федеральным государственным казенным учреждением ...">
        <w:r>
          <w:rPr>
            <w:sz w:val="24"/>
            <w:color w:val="0000ff"/>
          </w:rPr>
          <w:t xml:space="preserve">пункте 2</w:t>
        </w:r>
      </w:hyperlink>
      <w:r>
        <w:rPr>
          <w:sz w:val="24"/>
        </w:rPr>
        <w:t xml:space="preserve"> настоящего Порядка, и (или) в соответствии с предложениями Комиссии, при наличии оснований, предусмотренных </w:t>
      </w:r>
      <w:hyperlink w:history="0" w:anchor="P71" w:tooltip="8. В соответствии с частью пя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по следующим основаниям:">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2) об отказе во внесении изменений в лицензию на пользование недрами, при отсутствии оснований, предусмотренных </w:t>
      </w:r>
      <w:hyperlink w:history="0" w:anchor="P71" w:tooltip="8. В соответствии с частью пя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по следующим основаниям:">
        <w:r>
          <w:rPr>
            <w:sz w:val="24"/>
            <w:color w:val="0000ff"/>
          </w:rPr>
          <w:t xml:space="preserve">пунктом 8</w:t>
        </w:r>
      </w:hyperlink>
      <w:r>
        <w:rPr>
          <w:sz w:val="24"/>
        </w:rPr>
        <w:t xml:space="preserve"> настоящего Порядка.</w:t>
      </w:r>
    </w:p>
    <w:p>
      <w:pPr>
        <w:pStyle w:val="0"/>
        <w:jc w:val="both"/>
      </w:pPr>
      <w:r>
        <w:rPr>
          <w:sz w:val="24"/>
        </w:rPr>
      </w:r>
    </w:p>
    <w:p>
      <w:pPr>
        <w:pStyle w:val="2"/>
        <w:outlineLvl w:val="1"/>
        <w:jc w:val="center"/>
      </w:pPr>
      <w:r>
        <w:rPr>
          <w:sz w:val="24"/>
        </w:rPr>
        <w:t xml:space="preserve">V. Оформление решения Комиссии о внесении</w:t>
      </w:r>
    </w:p>
    <w:p>
      <w:pPr>
        <w:pStyle w:val="2"/>
        <w:jc w:val="center"/>
      </w:pPr>
      <w:r>
        <w:rPr>
          <w:sz w:val="24"/>
        </w:rPr>
        <w:t xml:space="preserve">изменений (об отказе во внесении изменений) в лицензию</w:t>
      </w:r>
    </w:p>
    <w:p>
      <w:pPr>
        <w:pStyle w:val="2"/>
        <w:jc w:val="center"/>
      </w:pPr>
      <w:r>
        <w:rPr>
          <w:sz w:val="24"/>
        </w:rPr>
        <w:t xml:space="preserve">на пользование недрами</w:t>
      </w:r>
    </w:p>
    <w:p>
      <w:pPr>
        <w:pStyle w:val="0"/>
        <w:jc w:val="both"/>
      </w:pPr>
      <w:r>
        <w:rPr>
          <w:sz w:val="24"/>
        </w:rPr>
      </w:r>
    </w:p>
    <w:bookmarkStart w:id="196" w:name="P196"/>
    <w:bookmarkEnd w:id="196"/>
    <w:p>
      <w:pPr>
        <w:pStyle w:val="0"/>
        <w:ind w:firstLine="540"/>
        <w:jc w:val="both"/>
      </w:pPr>
      <w:r>
        <w:rPr>
          <w:sz w:val="24"/>
        </w:rPr>
        <w:t xml:space="preserve">31. Решение, предусмотренное </w:t>
      </w:r>
      <w:hyperlink w:history="0" w:anchor="P188" w:tooltip="30. По результатам рассмотрения комплекта документов по внесению изменений в лицензии на пользование недрами, предусмотренного пунктом 21 настоящего Порядка, Комиссия вправе принять следующие решения:">
        <w:r>
          <w:rPr>
            <w:sz w:val="24"/>
            <w:color w:val="0000ff"/>
          </w:rPr>
          <w:t xml:space="preserve">пунктом 30</w:t>
        </w:r>
      </w:hyperlink>
      <w:r>
        <w:rPr>
          <w:sz w:val="24"/>
        </w:rPr>
        <w:t xml:space="preserve">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w:t>
      </w:r>
      <w:hyperlink w:history="0" r:id="rId50"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spacing w:before="240" w:lineRule="auto"/>
        <w:ind w:firstLine="540"/>
        <w:jc w:val="both"/>
      </w:pPr>
      <w:r>
        <w:rPr>
          <w:sz w:val="24"/>
        </w:rPr>
        <w:t xml:space="preserve">32. Протокол заседания Комиссии оформляется и подписывается членами Комиссии в порядке, предусмотренном </w:t>
      </w:r>
      <w:hyperlink w:history="0" w:anchor="P196" w:tooltip="31. Решение, предусмотренное пунктом 30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закона &quot;Об электронной подписи&quot;.">
        <w:r>
          <w:rPr>
            <w:sz w:val="24"/>
            <w:color w:val="0000ff"/>
          </w:rPr>
          <w:t xml:space="preserve">пунктом 31</w:t>
        </w:r>
      </w:hyperlink>
      <w:r>
        <w:rPr>
          <w:sz w:val="24"/>
        </w:rPr>
        <w:t xml:space="preserve"> настоящего Порядка, не позднее чем через 10 рабочих дней с даты проведения заседания Комиссии.</w:t>
      </w:r>
    </w:p>
    <w:p>
      <w:pPr>
        <w:pStyle w:val="0"/>
        <w:spacing w:before="240" w:lineRule="auto"/>
        <w:ind w:firstLine="540"/>
        <w:jc w:val="both"/>
      </w:pPr>
      <w:r>
        <w:rPr>
          <w:sz w:val="24"/>
        </w:rPr>
        <w:t xml:space="preserve">33. В протоколе заседания Комиссии по каждому из рассмотренных вопросов о внесении изменений в лицензию на пользование недрами указываются:</w:t>
      </w:r>
    </w:p>
    <w:bookmarkStart w:id="199" w:name="P199"/>
    <w:bookmarkEnd w:id="199"/>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государственный регистрационный номер лицензии на пользование недрами и дата ее государственной регистрации;</w:t>
      </w:r>
    </w:p>
    <w:p>
      <w:pPr>
        <w:pStyle w:val="0"/>
        <w:spacing w:before="240" w:lineRule="auto"/>
        <w:ind w:firstLine="540"/>
        <w:jc w:val="both"/>
      </w:pPr>
      <w:r>
        <w:rPr>
          <w:sz w:val="24"/>
        </w:rPr>
        <w:t xml:space="preserve">3) геологическая характеристика участка недр;</w:t>
      </w:r>
    </w:p>
    <w:p>
      <w:pPr>
        <w:pStyle w:val="0"/>
        <w:spacing w:before="240" w:lineRule="auto"/>
        <w:ind w:firstLine="540"/>
        <w:jc w:val="both"/>
      </w:pPr>
      <w:r>
        <w:rPr>
          <w:sz w:val="24"/>
        </w:rPr>
        <w:t xml:space="preserve">4) информация о поступивших от федеральных органов государственной власти, наделенных полномочиями по осуществлению государственного контроля (надзора), актах контрольных (надзорных) мероприятий в отношении соответствующего пользователя недр, а также предписаниях об устранении соответствующим пользователем недр выявленных нарушений (при наличии);</w:t>
      </w:r>
    </w:p>
    <w:p>
      <w:pPr>
        <w:pStyle w:val="0"/>
        <w:spacing w:before="240" w:lineRule="auto"/>
        <w:ind w:firstLine="540"/>
        <w:jc w:val="both"/>
      </w:pPr>
      <w:r>
        <w:rPr>
          <w:sz w:val="24"/>
        </w:rPr>
        <w:t xml:space="preserve">5) реквизиты проектной документации, предусмотренной </w:t>
      </w:r>
      <w:hyperlink w:history="0" r:id="rId51" w:tooltip="Закон РФ от 21.02.1992 N 2395-1 (ред. от 31.07.2025) &quot;О недрах&quot; {КонсультантПлюс}">
        <w:r>
          <w:rPr>
            <w:sz w:val="24"/>
            <w:color w:val="0000ff"/>
          </w:rPr>
          <w:t xml:space="preserve">статьями 23.2</w:t>
        </w:r>
      </w:hyperlink>
      <w:r>
        <w:rPr>
          <w:sz w:val="24"/>
        </w:rPr>
        <w:t xml:space="preserve"> и </w:t>
      </w:r>
      <w:hyperlink w:history="0" r:id="rId52" w:tooltip="Закон РФ от 21.02.1992 N 2395-1 (ред. от 31.07.2025) &quot;О недрах&quot; {КонсультантПлюс}">
        <w:r>
          <w:rPr>
            <w:sz w:val="24"/>
            <w:color w:val="0000ff"/>
          </w:rPr>
          <w:t xml:space="preserve">36.1</w:t>
        </w:r>
      </w:hyperlink>
      <w:r>
        <w:rPr>
          <w:sz w:val="24"/>
        </w:rPr>
        <w:t xml:space="preserve"> Закона Российской Федерации "О недрах";</w:t>
      </w:r>
    </w:p>
    <w:p>
      <w:pPr>
        <w:pStyle w:val="0"/>
        <w:spacing w:before="240" w:lineRule="auto"/>
        <w:ind w:firstLine="540"/>
        <w:jc w:val="both"/>
      </w:pPr>
      <w:r>
        <w:rPr>
          <w:sz w:val="24"/>
        </w:rPr>
        <w:t xml:space="preserve">6) сведения о выполнении пользователем недр условий пользования участком недр, предусмотренных лицензией на пользование недрами;</w:t>
      </w:r>
    </w:p>
    <w:p>
      <w:pPr>
        <w:pStyle w:val="0"/>
        <w:spacing w:before="240" w:lineRule="auto"/>
        <w:ind w:firstLine="540"/>
        <w:jc w:val="both"/>
      </w:pPr>
      <w:r>
        <w:rPr>
          <w:sz w:val="24"/>
        </w:rPr>
        <w:t xml:space="preserve">7) основания внесения изменений в лицензию на пользование недрами в соответствии с </w:t>
      </w:r>
      <w:hyperlink w:history="0" w:anchor="P71" w:tooltip="8. В соответствии с частью пятой статьи 1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несение изменений в лицензии на пользование недрами осуществляется по следующим основаниям:">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8) разделы лицензии на пользование недрами, в которые предлагается внесение изменений;</w:t>
      </w:r>
    </w:p>
    <w:bookmarkStart w:id="207" w:name="P207"/>
    <w:bookmarkEnd w:id="207"/>
    <w:p>
      <w:pPr>
        <w:pStyle w:val="0"/>
        <w:spacing w:before="240" w:lineRule="auto"/>
        <w:ind w:firstLine="540"/>
        <w:jc w:val="both"/>
      </w:pPr>
      <w:r>
        <w:rPr>
          <w:sz w:val="24"/>
        </w:rPr>
        <w:t xml:space="preserve">9) содержание предлагаемых изменений в лицензию на пользование недрами, указание причин необходимости этих изменений;</w:t>
      </w:r>
    </w:p>
    <w:p>
      <w:pPr>
        <w:pStyle w:val="0"/>
        <w:spacing w:before="240" w:lineRule="auto"/>
        <w:ind w:firstLine="540"/>
        <w:jc w:val="both"/>
      </w:pPr>
      <w:r>
        <w:rPr>
          <w:sz w:val="24"/>
        </w:rPr>
        <w:t xml:space="preserve">10) решение Комиссии, предусмотренное </w:t>
      </w:r>
      <w:hyperlink w:history="0" w:anchor="P188" w:tooltip="30. По результатам рассмотрения комплекта документов по внесению изменений в лицензии на пользование недрами, предусмотренного пунктом 21 настоящего Порядка, Комиссия вправе принять следующие решения:">
        <w:r>
          <w:rPr>
            <w:sz w:val="24"/>
            <w:color w:val="0000ff"/>
          </w:rPr>
          <w:t xml:space="preserve">пунктом 30</w:t>
        </w:r>
      </w:hyperlink>
      <w:r>
        <w:rPr>
          <w:sz w:val="24"/>
        </w:rPr>
        <w:t xml:space="preserve"> настоящего Порядка.</w:t>
      </w:r>
    </w:p>
    <w:p>
      <w:pPr>
        <w:pStyle w:val="0"/>
        <w:spacing w:before="240" w:lineRule="auto"/>
        <w:ind w:firstLine="540"/>
        <w:jc w:val="both"/>
      </w:pPr>
      <w:r>
        <w:rPr>
          <w:sz w:val="24"/>
        </w:rPr>
        <w:t xml:space="preserve">К протоколу заседания Комиссии прилагаются особые мнения членов Комиссии (при наличии).</w:t>
      </w:r>
    </w:p>
    <w:p>
      <w:pPr>
        <w:pStyle w:val="0"/>
        <w:spacing w:before="240" w:lineRule="auto"/>
        <w:ind w:firstLine="540"/>
        <w:jc w:val="both"/>
      </w:pPr>
      <w:r>
        <w:rPr>
          <w:sz w:val="24"/>
        </w:rPr>
        <w:t xml:space="preserve">34. Лицо, осуществляющее организационное обеспечение деятельности Комиссии в соответствии с </w:t>
      </w:r>
      <w:hyperlink w:history="0" w:anchor="P54" w:tooltip="5. Заседания Комиссии проводятся очно и (или) посредством использования видео-конференц-связи.">
        <w:r>
          <w:rPr>
            <w:sz w:val="24"/>
            <w:color w:val="0000ff"/>
          </w:rPr>
          <w:t xml:space="preserve">пунктом 5</w:t>
        </w:r>
      </w:hyperlink>
      <w:r>
        <w:rPr>
          <w:sz w:val="24"/>
        </w:rPr>
        <w:t xml:space="preserve"> настоящего Порядка, в течение 1 рабочего дня с даты подписания членами Комиссии в порядке, установленном </w:t>
      </w:r>
      <w:hyperlink w:history="0" w:anchor="P196" w:tooltip="31. Решение, предусмотренное пунктом 30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закона &quot;Об электронной подписи&quot;.">
        <w:r>
          <w:rPr>
            <w:sz w:val="24"/>
            <w:color w:val="0000ff"/>
          </w:rPr>
          <w:t xml:space="preserve">пунктом 31</w:t>
        </w:r>
      </w:hyperlink>
      <w:r>
        <w:rPr>
          <w:sz w:val="24"/>
        </w:rPr>
        <w:t xml:space="preserve"> настоящего Порядка, протокола заседания Комиссии размещает его в федеральной государственной информационной системе "Автоматизированная система лицензирования недропользования".</w:t>
      </w:r>
    </w:p>
    <w:bookmarkStart w:id="211" w:name="P211"/>
    <w:bookmarkEnd w:id="211"/>
    <w:p>
      <w:pPr>
        <w:pStyle w:val="0"/>
        <w:spacing w:before="240" w:lineRule="auto"/>
        <w:ind w:firstLine="540"/>
        <w:jc w:val="both"/>
      </w:pPr>
      <w:r>
        <w:rPr>
          <w:sz w:val="24"/>
        </w:rPr>
        <w:t xml:space="preserve">35. В случае принятия Комиссией решения о внесении изменений в лицензию на пользование недрами по основаниям, предусмотренным </w:t>
      </w:r>
      <w:hyperlink w:history="0" w:anchor="P72"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подпунктами 1</w:t>
        </w:r>
      </w:hyperlink>
      <w:r>
        <w:rPr>
          <w:sz w:val="24"/>
        </w:rPr>
        <w:t xml:space="preserve"> -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 пункта 8</w:t>
        </w:r>
      </w:hyperlink>
      <w:r>
        <w:rPr>
          <w:sz w:val="24"/>
        </w:rPr>
        <w:t xml:space="preserve"> настоящего Порядка, лицо, осуществляющее организационное обеспечение деятельности Комиссии в соответствии с </w:t>
      </w:r>
      <w:hyperlink w:history="0" w:anchor="P54" w:tooltip="5. Заседания Комиссии проводятся очно и (или) посредством использования видео-конференц-связи.">
        <w:r>
          <w:rPr>
            <w:sz w:val="24"/>
            <w:color w:val="0000ff"/>
          </w:rPr>
          <w:t xml:space="preserve">пунктом 5</w:t>
        </w:r>
      </w:hyperlink>
      <w:r>
        <w:rPr>
          <w:sz w:val="24"/>
        </w:rPr>
        <w:t xml:space="preserve"> настоящего Порядка, в течение 5 рабочих дней с даты подписания членами Комиссии протокола заседания Комиссии, направляет пользователю недр с использованием Личного кабинета недропользователя и (или) адреса его электронной почты (при наличии), или почтовым отправлением по адресу, указанному в заявке, информацию о принятом Комиссией решении для получения его согласия с вносимыми в лицензию на пользование недрами изменениями или отказа в согласовании вносимых в лицензию на пользование недрами изменений. Информация о вносимых в лицензию на пользование недрами изменениях представляется в виде сравнительной таблицы с указанием действующей редакции соответствующего раздела лицензии на пользование недрами и предлагаемых в нее изменений (далее - сравнительная таблица).</w:t>
      </w:r>
    </w:p>
    <w:bookmarkStart w:id="212" w:name="P212"/>
    <w:bookmarkEnd w:id="212"/>
    <w:p>
      <w:pPr>
        <w:pStyle w:val="0"/>
        <w:spacing w:before="240" w:lineRule="auto"/>
        <w:ind w:firstLine="540"/>
        <w:jc w:val="both"/>
      </w:pPr>
      <w:r>
        <w:rPr>
          <w:sz w:val="24"/>
        </w:rPr>
        <w:t xml:space="preserve">Пользователь недр в течение 10 рабочих дней с даты направления информации, указанной в </w:t>
      </w:r>
      <w:hyperlink w:history="0" w:anchor="P211" w:tooltip="35. В случае принятия Комиссией решения о внесении изменений в лицензию на пользование недрами по основаниям, предусмотренным подпунктами 1 - 5 пункта 8 настоящего Порядка, лицо, осуществляющее организационное обеспечение деятельности Комиссии в соответствии с пунктом 5 настоящего Порядка, в течение 5 рабочих дней с даты подписания членами Комиссии протокола заседания Комиссии, направляет пользователю недр с использованием Личного кабинета недропользователя и (или) адреса его электронной почты (при налич...">
        <w:r>
          <w:rPr>
            <w:sz w:val="24"/>
            <w:color w:val="0000ff"/>
          </w:rPr>
          <w:t xml:space="preserve">абзаце первом</w:t>
        </w:r>
      </w:hyperlink>
      <w:r>
        <w:rPr>
          <w:sz w:val="24"/>
        </w:rPr>
        <w:t xml:space="preserve"> настоящего пункта, выражает согласие с вносимыми изменениями в лицензию на пользование недрами путем направления в адрес Федерального агентства по недропользованию или его территориального органа представленной ему сравнительной таблицы, подписанной уполномоченным представителем пользователя недр электронной подписью в соответствии с требованиями Федерального </w:t>
      </w:r>
      <w:hyperlink w:history="0" r:id="rId53"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с использованием Личного кабинета недропользователя и (или) адреса электронной почты Федерального агентства по недропользованию или его территориального органа.</w:t>
      </w:r>
    </w:p>
    <w:bookmarkStart w:id="213" w:name="P213"/>
    <w:bookmarkEnd w:id="213"/>
    <w:p>
      <w:pPr>
        <w:pStyle w:val="0"/>
        <w:spacing w:before="240" w:lineRule="auto"/>
        <w:ind w:firstLine="540"/>
        <w:jc w:val="both"/>
      </w:pPr>
      <w:r>
        <w:rPr>
          <w:sz w:val="24"/>
        </w:rPr>
        <w:t xml:space="preserve">Пользователь недр в течение 10 рабочих дней с даты направления информации, указанной в </w:t>
      </w:r>
      <w:hyperlink w:history="0" w:anchor="P211" w:tooltip="35. В случае принятия Комиссией решения о внесении изменений в лицензию на пользование недрами по основаниям, предусмотренным подпунктами 1 - 5 пункта 8 настоящего Порядка, лицо, осуществляющее организационное обеспечение деятельности Комиссии в соответствии с пунктом 5 настоящего Порядка, в течение 5 рабочих дней с даты подписания членами Комиссии протокола заседания Комиссии, направляет пользователю недр с использованием Личного кабинета недропользователя и (или) адреса его электронной почты (при налич...">
        <w:r>
          <w:rPr>
            <w:sz w:val="24"/>
            <w:color w:val="0000ff"/>
          </w:rPr>
          <w:t xml:space="preserve">абзаце первом</w:t>
        </w:r>
      </w:hyperlink>
      <w:r>
        <w:rPr>
          <w:sz w:val="24"/>
        </w:rPr>
        <w:t xml:space="preserve"> настоящего пункта, выражает отказ в согласовании вносимых изменений в лицензию на пользование недрами путем направления в адрес Федерального агентства по недропользованию или его территориального органа письма об отказе в согласовании вносимых изменений в лицензию на пользование недрами, подписанного уполномоченным представителем пользователя недр электронной подписью в соответствии с требованиями Федерального </w:t>
      </w:r>
      <w:hyperlink w:history="0" r:id="rId54"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с использованием Личного кабинета недропользователя и (или) адреса электронной почты Федерального агентства по недропользованию или его территориального органа.</w:t>
      </w:r>
    </w:p>
    <w:p>
      <w:pPr>
        <w:pStyle w:val="0"/>
        <w:spacing w:before="240" w:lineRule="auto"/>
        <w:ind w:firstLine="540"/>
        <w:jc w:val="both"/>
      </w:pPr>
      <w:r>
        <w:rPr>
          <w:sz w:val="24"/>
        </w:rPr>
        <w:t xml:space="preserve">К информации, представляемой пользователем недр в соответствии с </w:t>
      </w:r>
      <w:hyperlink w:history="0" w:anchor="P212" w:tooltip="Пользователь недр в течение 10 рабочих дней с даты направления информации, указанной в абзаце первом настоящего пункта, выражает согласие с вносимыми изменениями в лицензию на пользование недрами путем направления в адрес Федерального агентства по недропользованию или его территориального органа представленной ему сравнительной таблицы, подписанной уполномоченным представителем пользователя недр электронной подписью в соответствии с требованиями Федерального закона &quot;Об электронной подписи&quot;, с использован...">
        <w:r>
          <w:rPr>
            <w:sz w:val="24"/>
            <w:color w:val="0000ff"/>
          </w:rPr>
          <w:t xml:space="preserve">абзацами вторым</w:t>
        </w:r>
      </w:hyperlink>
      <w:r>
        <w:rPr>
          <w:sz w:val="24"/>
        </w:rPr>
        <w:t xml:space="preserve"> и </w:t>
      </w:r>
      <w:hyperlink w:history="0" w:anchor="P213" w:tooltip="Пользователь недр в течение 10 рабочих дней с даты направления информации, указанной в абзаце первом настоящего пункта, выражает отказ в согласовании вносимых изменений в лицензию на пользование недрами путем направления в адрес Федерального агентства по недропользованию или его территориального органа письма об отказе в согласовании вносимых изменений в лицензию на пользование недрами, подписанного уполномоченным представителем пользователя недр электронной подписью в соответствии с требованиями Федерал...">
        <w:r>
          <w:rPr>
            <w:sz w:val="24"/>
            <w:color w:val="0000ff"/>
          </w:rPr>
          <w:t xml:space="preserve">третьим</w:t>
        </w:r>
      </w:hyperlink>
      <w:r>
        <w:rPr>
          <w:sz w:val="24"/>
        </w:rPr>
        <w:t xml:space="preserve"> настоящего пункта, прилагается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руководителя пользователя недр). В случае, если от имени пользователя недр действует иное лицо, к указанной информации также прилагается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или иным уполномоченным руководителем пользователя недр лицом. В случае если данная доверенность подписана лицом, уполномоченным руководителем пользователя недр, прилагается также документ, подтверждающий полномочия этого лица.</w:t>
      </w:r>
    </w:p>
    <w:p>
      <w:pPr>
        <w:pStyle w:val="0"/>
        <w:spacing w:before="240" w:lineRule="auto"/>
        <w:ind w:firstLine="540"/>
        <w:jc w:val="both"/>
      </w:pPr>
      <w:r>
        <w:rPr>
          <w:sz w:val="24"/>
        </w:rPr>
        <w:t xml:space="preserve">В случае, если пользователем недр в течение 10 рабочих дней с даты направления информации, указанной в </w:t>
      </w:r>
      <w:hyperlink w:history="0" w:anchor="P211" w:tooltip="35. В случае принятия Комиссией решения о внесении изменений в лицензию на пользование недрами по основаниям, предусмотренным подпунктами 1 - 5 пункта 8 настоящего Порядка, лицо, осуществляющее организационное обеспечение деятельности Комиссии в соответствии с пунктом 5 настоящего Порядка, в течение 5 рабочих дней с даты подписания членами Комиссии протокола заседания Комиссии, направляет пользователю недр с использованием Личного кабинета недропользователя и (или) адреса его электронной почты (при налич...">
        <w:r>
          <w:rPr>
            <w:sz w:val="24"/>
            <w:color w:val="0000ff"/>
          </w:rPr>
          <w:t xml:space="preserve">абзаце первом</w:t>
        </w:r>
      </w:hyperlink>
      <w:r>
        <w:rPr>
          <w:sz w:val="24"/>
        </w:rPr>
        <w:t xml:space="preserve"> настоящего пункта, не представлена подписанная в соответствии с </w:t>
      </w:r>
      <w:hyperlink w:history="0" w:anchor="P212" w:tooltip="Пользователь недр в течение 10 рабочих дней с даты направления информации, указанной в абзаце первом настоящего пункта, выражает согласие с вносимыми изменениями в лицензию на пользование недрами путем направления в адрес Федерального агентства по недропользованию или его территориального органа представленной ему сравнительной таблицы, подписанной уполномоченным представителем пользователя недр электронной подписью в соответствии с требованиями Федерального закона &quot;Об электронной подписи&quot;, с использован...">
        <w:r>
          <w:rPr>
            <w:sz w:val="24"/>
            <w:color w:val="0000ff"/>
          </w:rPr>
          <w:t xml:space="preserve">абзацем вторым</w:t>
        </w:r>
      </w:hyperlink>
      <w:r>
        <w:rPr>
          <w:sz w:val="24"/>
        </w:rPr>
        <w:t xml:space="preserve"> настоящего пункта сравнительная таблица, изменения в лицензию являются не согласованными.</w:t>
      </w:r>
    </w:p>
    <w:bookmarkStart w:id="216" w:name="P216"/>
    <w:bookmarkEnd w:id="216"/>
    <w:p>
      <w:pPr>
        <w:pStyle w:val="0"/>
        <w:spacing w:before="240" w:lineRule="auto"/>
        <w:ind w:firstLine="540"/>
        <w:jc w:val="both"/>
      </w:pPr>
      <w:r>
        <w:rPr>
          <w:sz w:val="24"/>
        </w:rPr>
        <w:t xml:space="preserve">36. Внесение изменений в лицензию на пользование недрами оформляется приложением к ней.</w:t>
      </w:r>
    </w:p>
    <w:p>
      <w:pPr>
        <w:pStyle w:val="0"/>
        <w:spacing w:before="240" w:lineRule="auto"/>
        <w:ind w:firstLine="540"/>
        <w:jc w:val="both"/>
      </w:pPr>
      <w:r>
        <w:rPr>
          <w:sz w:val="24"/>
        </w:rPr>
        <w:t xml:space="preserve">Оформление, государственная регистрация и выдача приложения к лицензии на пользование недрами осуществляются в порядке, установленном в соответствии со </w:t>
      </w:r>
      <w:hyperlink w:history="0" r:id="rId55"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с учетом особенностей, предусмотренных настоящим Порядком.</w:t>
      </w:r>
    </w:p>
    <w:p>
      <w:pPr>
        <w:pStyle w:val="0"/>
        <w:spacing w:before="240" w:lineRule="auto"/>
        <w:ind w:firstLine="540"/>
        <w:jc w:val="both"/>
      </w:pPr>
      <w:r>
        <w:rPr>
          <w:sz w:val="24"/>
        </w:rPr>
        <w:t xml:space="preserve">Приложение к лицензии на пользование недрами оформляется в электронной форме в виде файла формата XML с использованием специализированного программного обеспечения, интегрированного в федеральную государственную информационную систему "Автоматизированная система лицензирования недропользования", не позднее 7 рабочих дней с даты поступления от пользователя недр подписанной в соответствии с </w:t>
      </w:r>
      <w:hyperlink w:history="0" w:anchor="P212" w:tooltip="Пользователь недр в течение 10 рабочих дней с даты направления информации, указанной в абзаце первом настоящего пункта, выражает согласие с вносимыми изменениями в лицензию на пользование недрами путем направления в адрес Федерального агентства по недропользованию или его территориального органа представленной ему сравнительной таблицы, подписанной уполномоченным представителем пользователя недр электронной подписью в соответствии с требованиями Федерального закона &quot;Об электронной подписи&quot;, с использован...">
        <w:r>
          <w:rPr>
            <w:sz w:val="24"/>
            <w:color w:val="0000ff"/>
          </w:rPr>
          <w:t xml:space="preserve">абзацем вторым пункта 35</w:t>
        </w:r>
      </w:hyperlink>
      <w:r>
        <w:rPr>
          <w:sz w:val="24"/>
        </w:rPr>
        <w:t xml:space="preserve"> настоящего Порядка сравнительной таблицы (в случае принятия Комиссией решения о внесении изменений в лицензию на пользование недрами по основаниям, предусмотренным </w:t>
      </w:r>
      <w:hyperlink w:history="0" w:anchor="P72"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подпунктами 1</w:t>
        </w:r>
      </w:hyperlink>
      <w:r>
        <w:rPr>
          <w:sz w:val="24"/>
        </w:rPr>
        <w:t xml:space="preserve"> -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 пункта 8</w:t>
        </w:r>
      </w:hyperlink>
      <w:r>
        <w:rPr>
          <w:sz w:val="24"/>
        </w:rPr>
        <w:t xml:space="preserve"> настоящего Порядка) или с даты оформления протокола заседания Комиссии, предусмотренного </w:t>
      </w:r>
      <w:hyperlink w:history="0" w:anchor="P196" w:tooltip="31. Решение, предусмотренное пунктом 30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закона &quot;Об электронной подписи&quot;.">
        <w:r>
          <w:rPr>
            <w:sz w:val="24"/>
            <w:color w:val="0000ff"/>
          </w:rPr>
          <w:t xml:space="preserve">пунктом 31</w:t>
        </w:r>
      </w:hyperlink>
      <w:r>
        <w:rPr>
          <w:sz w:val="24"/>
        </w:rPr>
        <w:t xml:space="preserve"> настоящего Порядка (в случае принятия Комиссией решения о внесении изменений в лицензию на пользование недрами по основаниям, предусмотренным </w:t>
      </w:r>
      <w:hyperlink w:history="0" w:anchor="P77" w:tooltip="6) приведение содержания лицензии на пользование недрами в соответствие с требованиями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24, ст. 4188) или иных федеральных законов;">
        <w:r>
          <w:rPr>
            <w:sz w:val="24"/>
            <w:color w:val="0000ff"/>
          </w:rPr>
          <w:t xml:space="preserve">подпунктами 6</w:t>
        </w:r>
      </w:hyperlink>
      <w:r>
        <w:rPr>
          <w:sz w:val="24"/>
        </w:rPr>
        <w:t xml:space="preserve"> - </w:t>
      </w:r>
      <w:hyperlink w:history="0" w:anchor="P79" w:tooltip="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w:r>
          <w:rPr>
            <w:sz w:val="24"/>
            <w:color w:val="0000ff"/>
          </w:rPr>
          <w:t xml:space="preserve">8 пункта 8</w:t>
        </w:r>
      </w:hyperlink>
      <w:r>
        <w:rPr>
          <w:sz w:val="24"/>
        </w:rPr>
        <w:t xml:space="preserve"> настоящего Порядка).</w:t>
      </w:r>
    </w:p>
    <w:bookmarkStart w:id="219" w:name="P219"/>
    <w:bookmarkEnd w:id="219"/>
    <w:p>
      <w:pPr>
        <w:pStyle w:val="0"/>
        <w:spacing w:before="240" w:lineRule="auto"/>
        <w:ind w:firstLine="540"/>
        <w:jc w:val="both"/>
      </w:pPr>
      <w:r>
        <w:rPr>
          <w:sz w:val="24"/>
        </w:rPr>
        <w:t xml:space="preserve">Пользователь недр вправе дополнительно получить приложение к лицензии на пользование недрами на бумажном носителе на основании соответствующего заявления в свободной форме, направленного в ФГКУ "Росгеолэкспертиза" или территориальный орган Федерального агентства по недропользованию с использованием Личного кабинета недропользователя, лично или почтовым отправлением.</w:t>
      </w:r>
    </w:p>
    <w:p>
      <w:pPr>
        <w:pStyle w:val="0"/>
        <w:spacing w:before="240" w:lineRule="auto"/>
        <w:ind w:firstLine="540"/>
        <w:jc w:val="both"/>
      </w:pPr>
      <w:r>
        <w:rPr>
          <w:sz w:val="24"/>
        </w:rPr>
        <w:t xml:space="preserve">Экземпляр приложения к лицензии на пользование недрами на бумажном носителе заверяется ФГКУ "Росгеолэкспертиза" или территориальным органом Федерального агентства по недропользованию.</w:t>
      </w:r>
    </w:p>
    <w:p>
      <w:pPr>
        <w:pStyle w:val="0"/>
        <w:spacing w:before="240" w:lineRule="auto"/>
        <w:ind w:firstLine="540"/>
        <w:jc w:val="both"/>
      </w:pPr>
      <w:r>
        <w:rPr>
          <w:sz w:val="24"/>
        </w:rPr>
        <w:t xml:space="preserve">Уполномоченный работник ФГКУ "Росгеолэкспертиза" или должностное лицо территориального органа Федерального агентства по недропользованию, ответственное за лицензирование, вручает уполномоченному представителю пользователя недр непосредственно под подпись о получении либо направляет по почте заказным письмом с уведомлением о вручении экземпляр приложения к лицензии на пользование недрами на бумажном носителе в течение 10 рабочих дней с даты поступления заявления пользователя недр, предусмотренного </w:t>
      </w:r>
      <w:hyperlink w:history="0" w:anchor="P219" w:tooltip="Пользователь недр вправе дополнительно получить приложение к лицензии на пользование недрами на бумажном носителе на основании соответствующего заявления в свободной форме, направленного в ФГКУ &quot;Росгеолэкспертиза&quot; или территориальный орган Федерального агентства по недропользованию с использованием Личного кабинета недропользователя, лично или почтовым отправлением.">
        <w:r>
          <w:rPr>
            <w:sz w:val="24"/>
            <w:color w:val="0000ff"/>
          </w:rPr>
          <w:t xml:space="preserve">абзацем четвертым</w:t>
        </w:r>
      </w:hyperlink>
      <w:r>
        <w:rPr>
          <w:sz w:val="24"/>
        </w:rPr>
        <w:t xml:space="preserve"> настоящего пункта, но не ранее 5 рабочих дней с даты государственной регистрации приложения к лицензии на пользование недрами.</w:t>
      </w:r>
    </w:p>
    <w:p>
      <w:pPr>
        <w:pStyle w:val="0"/>
        <w:spacing w:before="240" w:lineRule="auto"/>
        <w:ind w:firstLine="540"/>
        <w:jc w:val="both"/>
      </w:pPr>
      <w:r>
        <w:rPr>
          <w:sz w:val="24"/>
        </w:rPr>
        <w:t xml:space="preserve">37. В случае, если внесение изменений в лицензию на пользование недрами по основаниям, предусмотренным </w:t>
      </w:r>
      <w:hyperlink w:history="0" w:anchor="P72"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подпунктами 1</w:t>
        </w:r>
      </w:hyperlink>
      <w:r>
        <w:rPr>
          <w:sz w:val="24"/>
        </w:rPr>
        <w:t xml:space="preserve"> - </w:t>
      </w:r>
      <w:hyperlink w:history="0" w:anchor="P76"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 пункта 8</w:t>
        </w:r>
      </w:hyperlink>
      <w:r>
        <w:rPr>
          <w:sz w:val="24"/>
        </w:rPr>
        <w:t xml:space="preserve"> настоящего Порядка, не было согласовано пользователем недр, приложение к лицензии на пользование недрами, предусмотренное </w:t>
      </w:r>
      <w:hyperlink w:history="0" w:anchor="P216" w:tooltip="36. Внесение изменений в лицензию на пользование недрами оформляется приложением к ней.">
        <w:r>
          <w:rPr>
            <w:sz w:val="24"/>
            <w:color w:val="0000ff"/>
          </w:rPr>
          <w:t xml:space="preserve">пунктом 36</w:t>
        </w:r>
      </w:hyperlink>
      <w:r>
        <w:rPr>
          <w:sz w:val="24"/>
        </w:rPr>
        <w:t xml:space="preserve"> настоящего Порядка, не оформляется.</w:t>
      </w:r>
    </w:p>
    <w:p>
      <w:pPr>
        <w:pStyle w:val="0"/>
        <w:jc w:val="both"/>
      </w:pPr>
      <w:r>
        <w:rPr>
          <w:sz w:val="24"/>
        </w:rPr>
      </w:r>
    </w:p>
    <w:p>
      <w:pPr>
        <w:pStyle w:val="2"/>
        <w:outlineLvl w:val="1"/>
        <w:jc w:val="center"/>
      </w:pPr>
      <w:r>
        <w:rPr>
          <w:sz w:val="24"/>
        </w:rPr>
        <w:t xml:space="preserve">VI. Размещение информации о внесении изменений в лицензию</w:t>
      </w:r>
    </w:p>
    <w:p>
      <w:pPr>
        <w:pStyle w:val="2"/>
        <w:jc w:val="center"/>
      </w:pPr>
      <w:r>
        <w:rPr>
          <w:sz w:val="24"/>
        </w:rPr>
        <w:t xml:space="preserve">на пользование недрами в государственном реестре участков</w:t>
      </w:r>
    </w:p>
    <w:p>
      <w:pPr>
        <w:pStyle w:val="2"/>
        <w:jc w:val="center"/>
      </w:pPr>
      <w:r>
        <w:rPr>
          <w:sz w:val="24"/>
        </w:rPr>
        <w:t xml:space="preserve">недр, предоставленных в пользование, и лицензий</w:t>
      </w:r>
    </w:p>
    <w:p>
      <w:pPr>
        <w:pStyle w:val="2"/>
        <w:jc w:val="center"/>
      </w:pPr>
      <w:r>
        <w:rPr>
          <w:sz w:val="24"/>
        </w:rPr>
        <w:t xml:space="preserve">на пользование недрами</w:t>
      </w:r>
    </w:p>
    <w:p>
      <w:pPr>
        <w:pStyle w:val="0"/>
        <w:jc w:val="both"/>
      </w:pPr>
      <w:r>
        <w:rPr>
          <w:sz w:val="24"/>
        </w:rPr>
      </w:r>
    </w:p>
    <w:p>
      <w:pPr>
        <w:pStyle w:val="0"/>
        <w:ind w:firstLine="540"/>
        <w:jc w:val="both"/>
      </w:pPr>
      <w:r>
        <w:rPr>
          <w:sz w:val="24"/>
        </w:rPr>
        <w:t xml:space="preserve">38. Приложение к лицензии на пользование недрами, оформленное в соответствии с </w:t>
      </w:r>
      <w:hyperlink w:history="0" w:anchor="P216" w:tooltip="36. Внесение изменений в лицензию на пользование недрами оформляется приложением к ней.">
        <w:r>
          <w:rPr>
            <w:sz w:val="24"/>
            <w:color w:val="0000ff"/>
          </w:rPr>
          <w:t xml:space="preserve">пунктом 36</w:t>
        </w:r>
      </w:hyperlink>
      <w:r>
        <w:rPr>
          <w:sz w:val="24"/>
        </w:rPr>
        <w:t xml:space="preserve"> настоящего Порядка, направляется уполномоченным работником ФГКУ "Росгеолэкспертиза" или должностным лицом территориального органа Федерального агентства по недропользованию, ответственным за лицензирование, с использованием специализированного программного обеспечения для государственной регистрации посредством внесения записи в государственный реестр участков недр, предоставленных в пользование, и лицензий на пользование недрами, предусмотренный </w:t>
      </w:r>
      <w:hyperlink w:history="0" r:id="rId56"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(далее - государственный реестр).</w:t>
      </w:r>
    </w:p>
    <w:p>
      <w:pPr>
        <w:pStyle w:val="0"/>
        <w:spacing w:before="240" w:lineRule="auto"/>
        <w:ind w:firstLine="540"/>
        <w:jc w:val="both"/>
      </w:pPr>
      <w:r>
        <w:rPr>
          <w:sz w:val="24"/>
        </w:rPr>
        <w:t xml:space="preserve">39. Изменения, внесенные в лицензию на пользование недрами, вступают в силу с даты внесения записи о государственной регистрации соответствующего приложения к лицензии на пользование недрами в государственный реестр.</w:t>
      </w:r>
    </w:p>
    <w:p>
      <w:pPr>
        <w:pStyle w:val="0"/>
        <w:spacing w:before="240" w:lineRule="auto"/>
        <w:ind w:firstLine="540"/>
        <w:jc w:val="both"/>
      </w:pPr>
      <w:r>
        <w:rPr>
          <w:sz w:val="24"/>
        </w:rPr>
        <w:t xml:space="preserve">40. В течение 1 рабочего дня с даты государственной регистрации приложения к лицензии на пользование недрами указанное приложение размещается в федеральной государственной информационной системе "Автоматизированная система лицензирования недропользования".</w:t>
      </w:r>
    </w:p>
    <w:p>
      <w:pPr>
        <w:pStyle w:val="0"/>
        <w:spacing w:before="240" w:lineRule="auto"/>
        <w:ind w:firstLine="540"/>
        <w:jc w:val="both"/>
      </w:pPr>
      <w:r>
        <w:rPr>
          <w:sz w:val="24"/>
        </w:rPr>
        <w:t xml:space="preserve">Федеральное агентство по недропользованию или его территориальный орган обеспечивает хранение электронных версий поступивших заявок и прилагаемых к ним документов и сведений, а также журналов учета операций по указанным заявкам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history="0" w:anchor="P134" w:tooltip="16. Поступившая заявка регистрируется Федеральным агентством по недропользованию, его территориальным органом или ФГКУ &quot;Росгеолэкспертиза&quot; в день ее поступления. При регистрации заявки ей присваивается регистрационный номер, а также указывается дата и местное время (часы и минуты) ее поступления.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
        <w:r>
          <w:rPr>
            <w:sz w:val="24"/>
            <w:color w:val="0000ff"/>
          </w:rPr>
          <w:t xml:space="preserve">пунктом 16</w:t>
        </w:r>
      </w:hyperlink>
      <w:r>
        <w:rPr>
          <w:sz w:val="24"/>
        </w:rPr>
        <w:t xml:space="preserve"> настоящего Порядка.</w:t>
      </w:r>
    </w:p>
    <w:p>
      <w:pPr>
        <w:pStyle w:val="0"/>
        <w:jc w:val="both"/>
      </w:pPr>
      <w:r>
        <w:rPr>
          <w:sz w:val="24"/>
        </w:rPr>
      </w:r>
    </w:p>
    <w:p>
      <w:pPr>
        <w:pStyle w:val="2"/>
        <w:outlineLvl w:val="1"/>
        <w:jc w:val="center"/>
      </w:pPr>
      <w:r>
        <w:rPr>
          <w:sz w:val="24"/>
        </w:rPr>
        <w:t xml:space="preserve">VII. Обжалование действий (бездействия) должностных</w:t>
      </w:r>
    </w:p>
    <w:p>
      <w:pPr>
        <w:pStyle w:val="2"/>
        <w:jc w:val="center"/>
      </w:pPr>
      <w:r>
        <w:rPr>
          <w:sz w:val="24"/>
        </w:rPr>
        <w:t xml:space="preserve">лиц Федерального агентства по недропользованию или его</w:t>
      </w:r>
    </w:p>
    <w:p>
      <w:pPr>
        <w:pStyle w:val="2"/>
        <w:jc w:val="center"/>
      </w:pPr>
      <w:r>
        <w:rPr>
          <w:sz w:val="24"/>
        </w:rPr>
        <w:t xml:space="preserve">территориальных органов, уполномоченных работников ФГКУ</w:t>
      </w:r>
    </w:p>
    <w:p>
      <w:pPr>
        <w:pStyle w:val="2"/>
        <w:jc w:val="center"/>
      </w:pPr>
      <w:r>
        <w:rPr>
          <w:sz w:val="24"/>
        </w:rPr>
        <w:t xml:space="preserve">"Росгеолэкспертиза", а также решения Комиссии об отказе</w:t>
      </w:r>
    </w:p>
    <w:p>
      <w:pPr>
        <w:pStyle w:val="2"/>
        <w:jc w:val="center"/>
      </w:pPr>
      <w:r>
        <w:rPr>
          <w:sz w:val="24"/>
        </w:rPr>
        <w:t xml:space="preserve">во внесении изменений в лицензию на пользование недрами</w:t>
      </w:r>
    </w:p>
    <w:p>
      <w:pPr>
        <w:pStyle w:val="0"/>
        <w:jc w:val="both"/>
      </w:pPr>
      <w:r>
        <w:rPr>
          <w:sz w:val="24"/>
        </w:rPr>
      </w:r>
    </w:p>
    <w:bookmarkStart w:id="240" w:name="P240"/>
    <w:bookmarkEnd w:id="240"/>
    <w:p>
      <w:pPr>
        <w:pStyle w:val="0"/>
        <w:ind w:firstLine="540"/>
        <w:jc w:val="both"/>
      </w:pPr>
      <w:r>
        <w:rPr>
          <w:sz w:val="24"/>
        </w:rPr>
        <w:t xml:space="preserve">41.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Комиссии, создаваемой территориальным органом Федерального агентства по недропользованию, посредством подачи жалобы в Федеральное агентство по недропользованию на имя руководителя (заместителя руководителя) Федерального агентства по недропользованию.</w:t>
      </w:r>
    </w:p>
    <w:p>
      <w:pPr>
        <w:pStyle w:val="0"/>
        <w:spacing w:before="240" w:lineRule="auto"/>
        <w:ind w:firstLine="540"/>
        <w:jc w:val="both"/>
      </w:pPr>
      <w:r>
        <w:rPr>
          <w:sz w:val="24"/>
        </w:rPr>
        <w:t xml:space="preserve">Заявитель вправе обжаловать действия (бездействие) и решения должностных лиц Федерального агентства по недропользованию, а также решения Комиссии, создаваемой Федеральным агентством по недропользованию, посредством подачи жалобы в Министерство природных ресурсов и экологии Российской Федерации на имя Министра природных ресурсов и экологии Российской Федерации.</w:t>
      </w:r>
    </w:p>
    <w:p>
      <w:pPr>
        <w:pStyle w:val="0"/>
        <w:spacing w:before="240" w:lineRule="auto"/>
        <w:ind w:firstLine="540"/>
        <w:jc w:val="both"/>
      </w:pPr>
      <w:r>
        <w:rPr>
          <w:sz w:val="24"/>
        </w:rPr>
        <w:t xml:space="preserve">42. В случае признания жалобы заявителя на решение Комиссии об отказе во внесении изменений в лицензию на пользование недрами обоснованной, комплект документов по внесению изменений в лицензию на пользование недрами, предусмотренный </w:t>
      </w:r>
      <w:hyperlink w:history="0" w:anchor="P151" w:tooltip="21. Лицо, осуществляющее организационное обеспечение деятельности Комиссии в соответствии с пунктом 5 настоящего Порядка, готовит комплект документов по внесению изменений в лицензию на пользование недрами для рассмотрения Комиссией, который включает в себя следующие документы и сведения в отношении каждого случая внесения изменений в лицензию на пользование недрами:">
        <w:r>
          <w:rPr>
            <w:sz w:val="24"/>
            <w:color w:val="0000ff"/>
          </w:rPr>
          <w:t xml:space="preserve">пунктом 21</w:t>
        </w:r>
      </w:hyperlink>
      <w:r>
        <w:rPr>
          <w:sz w:val="24"/>
        </w:rPr>
        <w:t xml:space="preserve"> настоящего Порядка, подлежит повторному рассмотрению Комиссией в сроки, предусмотренные </w:t>
      </w:r>
      <w:hyperlink w:history="0" w:anchor="P160" w:tooltip="22. Лицо, осуществляющее организационное обеспечение деятельности Комиссии в соответствии с пунктом 5 настоящего Порядка, передает в Комиссию комплект документов по внесению изменений в лицензию на пользование недрами, предусмотренный пунктом 21 настоящего Порядка, в следующие сроки:">
        <w:r>
          <w:rPr>
            <w:sz w:val="24"/>
            <w:color w:val="0000ff"/>
          </w:rPr>
          <w:t xml:space="preserve">пунктом 22</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внесения изменений в лицензии</w:t>
      </w:r>
    </w:p>
    <w:p>
      <w:pPr>
        <w:pStyle w:val="0"/>
        <w:jc w:val="right"/>
      </w:pPr>
      <w:r>
        <w:rPr>
          <w:sz w:val="24"/>
        </w:rPr>
        <w:t xml:space="preserve">на пользование недрами, утвержденному</w:t>
      </w:r>
    </w:p>
    <w:p>
      <w:pPr>
        <w:pStyle w:val="0"/>
        <w:jc w:val="right"/>
      </w:pPr>
      <w:r>
        <w:rPr>
          <w:sz w:val="24"/>
        </w:rPr>
        <w:t xml:space="preserve">приказом Минприроды России и Роснедр</w:t>
      </w:r>
    </w:p>
    <w:p>
      <w:pPr>
        <w:pStyle w:val="0"/>
        <w:jc w:val="right"/>
      </w:pPr>
      <w:r>
        <w:rPr>
          <w:sz w:val="24"/>
        </w:rPr>
        <w:t xml:space="preserve">от 14 октября 2021 г. N 752/11</w:t>
      </w:r>
    </w:p>
    <w:p>
      <w:pPr>
        <w:pStyle w:val="0"/>
        <w:jc w:val="both"/>
      </w:pPr>
      <w:r>
        <w:rPr>
          <w:sz w:val="24"/>
        </w:rPr>
      </w:r>
    </w:p>
    <w:bookmarkStart w:id="254" w:name="P254"/>
    <w:bookmarkEnd w:id="254"/>
    <w:p>
      <w:pPr>
        <w:pStyle w:val="2"/>
        <w:jc w:val="center"/>
      </w:pPr>
      <w:r>
        <w:rPr>
          <w:sz w:val="24"/>
        </w:rPr>
        <w:t xml:space="preserve">ПРЕДЕЛЬНЫЕ ОБЪЕМЫ</w:t>
      </w:r>
    </w:p>
    <w:p>
      <w:pPr>
        <w:pStyle w:val="2"/>
        <w:jc w:val="center"/>
      </w:pPr>
      <w:r>
        <w:rPr>
          <w:sz w:val="24"/>
        </w:rPr>
        <w:t xml:space="preserve">БАЛАНСОВЫХ ЗАПАСОВ И ПРОГНОЗНЫХ РЕСУРСОВ ПОЛЕЗНЫХ</w:t>
      </w:r>
    </w:p>
    <w:p>
      <w:pPr>
        <w:pStyle w:val="2"/>
        <w:jc w:val="center"/>
      </w:pPr>
      <w:r>
        <w:rPr>
          <w:sz w:val="24"/>
        </w:rPr>
        <w:t xml:space="preserve">ИСКОПАЕМЫХ, ЗАЛЕГАЮЩИХ НА УЧАСТКЕ НЕДР</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95"/>
        <w:gridCol w:w="1411"/>
        <w:gridCol w:w="1587"/>
        <w:gridCol w:w="1814"/>
      </w:tblGrid>
      <w:tr>
        <w:tc>
          <w:tcPr>
            <w:tcW w:w="4195" w:type="dxa"/>
            <w:vMerge w:val="restart"/>
          </w:tcPr>
          <w:p>
            <w:pPr>
              <w:pStyle w:val="0"/>
              <w:jc w:val="center"/>
            </w:pPr>
            <w:r>
              <w:rPr>
                <w:sz w:val="24"/>
              </w:rPr>
              <w:t xml:space="preserve">Полезные ископаемые месторождений или проявлений на участках недр</w:t>
            </w:r>
          </w:p>
        </w:tc>
        <w:tc>
          <w:tcPr>
            <w:tcW w:w="1411" w:type="dxa"/>
            <w:vMerge w:val="restart"/>
          </w:tcPr>
          <w:p>
            <w:pPr>
              <w:pStyle w:val="0"/>
              <w:jc w:val="center"/>
            </w:pPr>
            <w:r>
              <w:rPr>
                <w:sz w:val="24"/>
              </w:rPr>
              <w:t xml:space="preserve">Единица измерения</w:t>
            </w:r>
          </w:p>
        </w:tc>
        <w:tc>
          <w:tcPr>
            <w:gridSpan w:val="2"/>
            <w:tcW w:w="3401" w:type="dxa"/>
          </w:tcPr>
          <w:p>
            <w:pPr>
              <w:pStyle w:val="0"/>
              <w:jc w:val="center"/>
            </w:pPr>
            <w:r>
              <w:rPr>
                <w:sz w:val="24"/>
              </w:rPr>
              <w:t xml:space="preserve">Максимальное количество</w:t>
            </w:r>
          </w:p>
        </w:tc>
      </w:tr>
      <w:tr>
        <w:tc>
          <w:tcPr>
            <w:vMerge w:val="continue"/>
          </w:tcPr>
          <w:p/>
        </w:tc>
        <w:tc>
          <w:tcPr>
            <w:vMerge w:val="continue"/>
          </w:tcPr>
          <w:p/>
        </w:tc>
        <w:tc>
          <w:tcPr>
            <w:tcW w:w="1587" w:type="dxa"/>
          </w:tcPr>
          <w:p>
            <w:pPr>
              <w:pStyle w:val="0"/>
              <w:jc w:val="center"/>
            </w:pPr>
            <w:r>
              <w:rPr>
                <w:sz w:val="24"/>
              </w:rPr>
              <w:t xml:space="preserve">балансовых запасов полезных ископаемых по категориям A + B + C</w:t>
            </w:r>
            <w:r>
              <w:rPr>
                <w:sz w:val="24"/>
                <w:vertAlign w:val="subscript"/>
              </w:rPr>
              <w:t xml:space="preserve">1</w:t>
            </w:r>
            <w:r>
              <w:rPr>
                <w:sz w:val="24"/>
              </w:rPr>
              <w:t xml:space="preserve"> + C</w:t>
            </w:r>
            <w:r>
              <w:rPr>
                <w:sz w:val="24"/>
                <w:vertAlign w:val="subscript"/>
              </w:rPr>
              <w:t xml:space="preserve">2</w:t>
            </w:r>
          </w:p>
        </w:tc>
        <w:tc>
          <w:tcPr>
            <w:tcW w:w="1814" w:type="dxa"/>
          </w:tcPr>
          <w:p>
            <w:pPr>
              <w:pStyle w:val="0"/>
              <w:jc w:val="center"/>
            </w:pPr>
            <w:r>
              <w:rPr>
                <w:sz w:val="24"/>
              </w:rPr>
              <w:t xml:space="preserve">прогнозных ресурсов полезных ископаемых по категориям P</w:t>
            </w:r>
            <w:r>
              <w:rPr>
                <w:sz w:val="24"/>
                <w:vertAlign w:val="subscript"/>
              </w:rPr>
              <w:t xml:space="preserve">1</w:t>
            </w:r>
            <w:r>
              <w:rPr>
                <w:sz w:val="24"/>
              </w:rPr>
              <w:t xml:space="preserve"> + P</w:t>
            </w:r>
            <w:r>
              <w:rPr>
                <w:sz w:val="24"/>
                <w:vertAlign w:val="subscript"/>
              </w:rPr>
              <w:t xml:space="preserve">2</w:t>
            </w:r>
            <w:r>
              <w:rPr>
                <w:sz w:val="24"/>
              </w:rPr>
              <w:t xml:space="preserve">+ P</w:t>
            </w:r>
            <w:r>
              <w:rPr>
                <w:sz w:val="24"/>
                <w:vertAlign w:val="subscript"/>
              </w:rPr>
              <w:t xml:space="preserve">3</w:t>
            </w:r>
            <w:r>
              <w:rPr>
                <w:sz w:val="24"/>
              </w:rPr>
              <w:t xml:space="preserve"> (D</w:t>
            </w:r>
            <w:r>
              <w:rPr>
                <w:sz w:val="24"/>
                <w:vertAlign w:val="subscript"/>
              </w:rPr>
              <w:t xml:space="preserve">0</w:t>
            </w:r>
            <w:r>
              <w:rPr>
                <w:sz w:val="24"/>
              </w:rPr>
              <w:t xml:space="preserve"> + D</w:t>
            </w:r>
            <w:r>
              <w:rPr>
                <w:sz w:val="24"/>
                <w:vertAlign w:val="subscript"/>
              </w:rPr>
              <w:t xml:space="preserve">л</w:t>
            </w:r>
            <w:r>
              <w:rPr>
                <w:sz w:val="24"/>
              </w:rPr>
              <w:t xml:space="preserve"> + D</w:t>
            </w:r>
            <w:r>
              <w:rPr>
                <w:sz w:val="24"/>
                <w:vertAlign w:val="subscript"/>
              </w:rPr>
              <w:t xml:space="preserve">1</w:t>
            </w:r>
            <w:r>
              <w:rPr>
                <w:sz w:val="24"/>
              </w:rPr>
              <w:t xml:space="preserve"> + D</w:t>
            </w:r>
            <w:r>
              <w:rPr>
                <w:sz w:val="24"/>
                <w:vertAlign w:val="subscript"/>
              </w:rPr>
              <w:t xml:space="preserve">2</w:t>
            </w:r>
            <w:r>
              <w:rPr>
                <w:sz w:val="24"/>
              </w:rPr>
              <w:t xml:space="preserve">)</w:t>
            </w:r>
          </w:p>
        </w:tc>
      </w:tr>
      <w:tr>
        <w:tc>
          <w:tcPr>
            <w:tcW w:w="4195" w:type="dxa"/>
          </w:tcPr>
          <w:p>
            <w:pPr>
              <w:pStyle w:val="0"/>
              <w:jc w:val="center"/>
            </w:pPr>
            <w:r>
              <w:rPr>
                <w:sz w:val="24"/>
              </w:rPr>
              <w:t xml:space="preserve">1</w:t>
            </w:r>
          </w:p>
        </w:tc>
        <w:tc>
          <w:tcPr>
            <w:tcW w:w="1411" w:type="dxa"/>
          </w:tcPr>
          <w:p>
            <w:pPr>
              <w:pStyle w:val="0"/>
              <w:jc w:val="center"/>
            </w:pPr>
            <w:r>
              <w:rPr>
                <w:sz w:val="24"/>
              </w:rPr>
              <w:t xml:space="preserve">2</w:t>
            </w:r>
          </w:p>
        </w:tc>
        <w:tc>
          <w:tcPr>
            <w:tcW w:w="1587" w:type="dxa"/>
          </w:tcPr>
          <w:p>
            <w:pPr>
              <w:pStyle w:val="0"/>
              <w:jc w:val="center"/>
            </w:pPr>
            <w:r>
              <w:rPr>
                <w:sz w:val="24"/>
              </w:rPr>
              <w:t xml:space="preserve">3</w:t>
            </w:r>
          </w:p>
        </w:tc>
        <w:tc>
          <w:tcPr>
            <w:tcW w:w="1814" w:type="dxa"/>
          </w:tcPr>
          <w:p>
            <w:pPr>
              <w:pStyle w:val="0"/>
              <w:jc w:val="center"/>
            </w:pPr>
            <w:r>
              <w:rPr>
                <w:sz w:val="24"/>
              </w:rPr>
              <w:t xml:space="preserve">4</w:t>
            </w:r>
          </w:p>
        </w:tc>
      </w:tr>
      <w:tr>
        <w:tc>
          <w:tcPr>
            <w:gridSpan w:val="4"/>
            <w:tcW w:w="9007" w:type="dxa"/>
          </w:tcPr>
          <w:p>
            <w:pPr>
              <w:pStyle w:val="0"/>
              <w:outlineLvl w:val="2"/>
            </w:pPr>
            <w:r>
              <w:rPr>
                <w:sz w:val="24"/>
              </w:rPr>
              <w:t xml:space="preserve">I. Углеводородное сырье</w:t>
            </w:r>
          </w:p>
        </w:tc>
      </w:tr>
      <w:tr>
        <w:tc>
          <w:tcPr>
            <w:tcW w:w="4195" w:type="dxa"/>
          </w:tcPr>
          <w:p>
            <w:pPr>
              <w:pStyle w:val="0"/>
            </w:pPr>
            <w:r>
              <w:rPr>
                <w:sz w:val="24"/>
              </w:rPr>
              <w:t xml:space="preserve">Нефть</w:t>
            </w:r>
          </w:p>
        </w:tc>
        <w:tc>
          <w:tcPr>
            <w:tcW w:w="1411" w:type="dxa"/>
          </w:tcPr>
          <w:p>
            <w:pPr>
              <w:pStyle w:val="0"/>
              <w:jc w:val="center"/>
            </w:pPr>
            <w:r>
              <w:rPr>
                <w:sz w:val="24"/>
              </w:rPr>
              <w:t xml:space="preserve">млн. т</w:t>
            </w:r>
          </w:p>
          <w:p>
            <w:pPr>
              <w:pStyle w:val="0"/>
              <w:jc w:val="center"/>
            </w:pPr>
            <w:r>
              <w:rPr>
                <w:sz w:val="24"/>
              </w:rPr>
              <w:t xml:space="preserve">(извл.)</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tcW w:w="4195" w:type="dxa"/>
          </w:tcPr>
          <w:p>
            <w:pPr>
              <w:pStyle w:val="0"/>
            </w:pPr>
            <w:r>
              <w:rPr>
                <w:sz w:val="24"/>
              </w:rPr>
              <w:t xml:space="preserve">Газ</w:t>
            </w:r>
          </w:p>
        </w:tc>
        <w:tc>
          <w:tcPr>
            <w:tcW w:w="1411" w:type="dxa"/>
          </w:tcPr>
          <w:p>
            <w:pPr>
              <w:pStyle w:val="0"/>
              <w:jc w:val="center"/>
            </w:pPr>
            <w:r>
              <w:rPr>
                <w:sz w:val="24"/>
              </w:rPr>
              <w:t xml:space="preserve">млрд. м</w:t>
            </w:r>
            <w:r>
              <w:rPr>
                <w:sz w:val="24"/>
                <w:vertAlign w:val="superscript"/>
              </w:rPr>
              <w:t xml:space="preserve">3</w:t>
            </w:r>
          </w:p>
          <w:p>
            <w:pPr>
              <w:pStyle w:val="0"/>
              <w:jc w:val="center"/>
            </w:pPr>
            <w:r>
              <w:rPr>
                <w:sz w:val="24"/>
              </w:rPr>
              <w:t xml:space="preserve">(извл.)</w:t>
            </w:r>
          </w:p>
        </w:tc>
        <w:tc>
          <w:tcPr>
            <w:tcW w:w="1587" w:type="dxa"/>
          </w:tcPr>
          <w:p>
            <w:pPr>
              <w:pStyle w:val="0"/>
              <w:jc w:val="center"/>
            </w:pPr>
            <w:r>
              <w:rPr>
                <w:sz w:val="24"/>
              </w:rPr>
              <w:t xml:space="preserve">3</w:t>
            </w:r>
          </w:p>
        </w:tc>
        <w:tc>
          <w:tcPr>
            <w:tcW w:w="1814" w:type="dxa"/>
          </w:tcPr>
          <w:p>
            <w:pPr>
              <w:pStyle w:val="0"/>
              <w:jc w:val="center"/>
            </w:pPr>
            <w:r>
              <w:rPr>
                <w:sz w:val="24"/>
              </w:rPr>
              <w:t xml:space="preserve">5</w:t>
            </w:r>
          </w:p>
        </w:tc>
      </w:tr>
      <w:tr>
        <w:tc>
          <w:tcPr>
            <w:gridSpan w:val="4"/>
            <w:tcW w:w="9007" w:type="dxa"/>
          </w:tcPr>
          <w:p>
            <w:pPr>
              <w:pStyle w:val="0"/>
              <w:outlineLvl w:val="2"/>
            </w:pPr>
            <w:r>
              <w:rPr>
                <w:sz w:val="24"/>
              </w:rPr>
              <w:t xml:space="preserve">II. Энергетическое сырье</w:t>
            </w:r>
          </w:p>
        </w:tc>
      </w:tr>
      <w:tr>
        <w:tc>
          <w:tcPr>
            <w:tcW w:w="4195" w:type="dxa"/>
          </w:tcPr>
          <w:p>
            <w:pPr>
              <w:pStyle w:val="0"/>
            </w:pPr>
            <w:r>
              <w:rPr>
                <w:sz w:val="24"/>
              </w:rPr>
              <w:t xml:space="preserve">Уголь каменный и антрацит</w:t>
            </w:r>
          </w:p>
        </w:tc>
        <w:tc>
          <w:tcPr>
            <w:tcW w:w="1411" w:type="dxa"/>
          </w:tcPr>
          <w:p>
            <w:pPr>
              <w:pStyle w:val="0"/>
              <w:jc w:val="center"/>
            </w:pPr>
            <w:r>
              <w:rPr>
                <w:sz w:val="24"/>
              </w:rPr>
              <w:t xml:space="preserve">млн. т</w:t>
            </w:r>
          </w:p>
        </w:tc>
        <w:tc>
          <w:tcPr>
            <w:tcW w:w="1587" w:type="dxa"/>
          </w:tcPr>
          <w:p>
            <w:pPr>
              <w:pStyle w:val="0"/>
              <w:jc w:val="center"/>
            </w:pPr>
            <w:r>
              <w:rPr>
                <w:sz w:val="24"/>
              </w:rPr>
              <w:t xml:space="preserve">10</w:t>
            </w:r>
          </w:p>
        </w:tc>
        <w:tc>
          <w:tcPr>
            <w:tcW w:w="1814" w:type="dxa"/>
          </w:tcPr>
          <w:p>
            <w:pPr>
              <w:pStyle w:val="0"/>
              <w:jc w:val="center"/>
            </w:pPr>
            <w:r>
              <w:rPr>
                <w:sz w:val="24"/>
              </w:rPr>
              <w:t xml:space="preserve">20</w:t>
            </w:r>
          </w:p>
        </w:tc>
      </w:tr>
      <w:tr>
        <w:tc>
          <w:tcPr>
            <w:tcW w:w="4195" w:type="dxa"/>
          </w:tcPr>
          <w:p>
            <w:pPr>
              <w:pStyle w:val="0"/>
            </w:pPr>
            <w:r>
              <w:rPr>
                <w:sz w:val="24"/>
              </w:rPr>
              <w:t xml:space="preserve">Уголь бурый</w:t>
            </w:r>
          </w:p>
        </w:tc>
        <w:tc>
          <w:tcPr>
            <w:tcW w:w="1411" w:type="dxa"/>
          </w:tcPr>
          <w:p>
            <w:pPr>
              <w:pStyle w:val="0"/>
              <w:jc w:val="center"/>
            </w:pPr>
            <w:r>
              <w:rPr>
                <w:sz w:val="24"/>
              </w:rPr>
              <w:t xml:space="preserve">млн. т</w:t>
            </w:r>
          </w:p>
        </w:tc>
        <w:tc>
          <w:tcPr>
            <w:tcW w:w="1587" w:type="dxa"/>
          </w:tcPr>
          <w:p>
            <w:pPr>
              <w:pStyle w:val="0"/>
              <w:jc w:val="center"/>
            </w:pPr>
            <w:r>
              <w:rPr>
                <w:sz w:val="24"/>
              </w:rPr>
              <w:t xml:space="preserve">100</w:t>
            </w:r>
          </w:p>
        </w:tc>
        <w:tc>
          <w:tcPr>
            <w:tcW w:w="1814" w:type="dxa"/>
          </w:tcPr>
          <w:p>
            <w:pPr>
              <w:pStyle w:val="0"/>
              <w:jc w:val="center"/>
            </w:pPr>
            <w:r>
              <w:rPr>
                <w:sz w:val="24"/>
              </w:rPr>
              <w:t xml:space="preserve">200</w:t>
            </w:r>
          </w:p>
        </w:tc>
      </w:tr>
      <w:tr>
        <w:tc>
          <w:tcPr>
            <w:tcW w:w="4195" w:type="dxa"/>
          </w:tcPr>
          <w:p>
            <w:pPr>
              <w:pStyle w:val="0"/>
            </w:pPr>
            <w:r>
              <w:rPr>
                <w:sz w:val="24"/>
              </w:rPr>
              <w:t xml:space="preserve">Торф и горючие сланцы</w:t>
            </w:r>
          </w:p>
        </w:tc>
        <w:tc>
          <w:tcPr>
            <w:gridSpan w:val="3"/>
            <w:tcW w:w="4812" w:type="dxa"/>
          </w:tcPr>
          <w:p>
            <w:pPr>
              <w:pStyle w:val="0"/>
            </w:pPr>
            <w:r>
              <w:rPr>
                <w:sz w:val="24"/>
              </w:rPr>
              <w:t xml:space="preserve">Без ограничений</w:t>
            </w:r>
          </w:p>
        </w:tc>
      </w:tr>
      <w:tr>
        <w:tc>
          <w:tcPr>
            <w:gridSpan w:val="4"/>
            <w:tcW w:w="9007" w:type="dxa"/>
          </w:tcPr>
          <w:p>
            <w:pPr>
              <w:pStyle w:val="0"/>
              <w:outlineLvl w:val="2"/>
            </w:pPr>
            <w:r>
              <w:rPr>
                <w:sz w:val="24"/>
              </w:rPr>
              <w:t xml:space="preserve">III. Черные металлы</w:t>
            </w:r>
          </w:p>
        </w:tc>
      </w:tr>
      <w:tr>
        <w:tc>
          <w:tcPr>
            <w:tcW w:w="4195" w:type="dxa"/>
          </w:tcPr>
          <w:p>
            <w:pPr>
              <w:pStyle w:val="0"/>
            </w:pPr>
            <w:r>
              <w:rPr>
                <w:sz w:val="24"/>
              </w:rPr>
              <w:t xml:space="preserve">Железные руды</w:t>
            </w:r>
          </w:p>
        </w:tc>
        <w:tc>
          <w:tcPr>
            <w:tcW w:w="1411" w:type="dxa"/>
          </w:tcPr>
          <w:p>
            <w:pPr>
              <w:pStyle w:val="0"/>
              <w:jc w:val="center"/>
            </w:pPr>
            <w:r>
              <w:rPr>
                <w:sz w:val="24"/>
              </w:rPr>
              <w:t xml:space="preserve">млн. т</w:t>
            </w:r>
          </w:p>
        </w:tc>
        <w:tc>
          <w:tcPr>
            <w:tcW w:w="1587" w:type="dxa"/>
          </w:tcPr>
          <w:p>
            <w:pPr>
              <w:pStyle w:val="0"/>
              <w:jc w:val="center"/>
            </w:pPr>
            <w:r>
              <w:rPr>
                <w:sz w:val="24"/>
              </w:rPr>
              <w:t xml:space="preserve">100</w:t>
            </w:r>
          </w:p>
        </w:tc>
        <w:tc>
          <w:tcPr>
            <w:tcW w:w="1814" w:type="dxa"/>
          </w:tcPr>
          <w:p>
            <w:pPr>
              <w:pStyle w:val="0"/>
              <w:jc w:val="center"/>
            </w:pPr>
            <w:r>
              <w:rPr>
                <w:sz w:val="24"/>
              </w:rPr>
              <w:t xml:space="preserve">200</w:t>
            </w:r>
          </w:p>
        </w:tc>
      </w:tr>
      <w:tr>
        <w:tc>
          <w:tcPr>
            <w:tcW w:w="4195" w:type="dxa"/>
          </w:tcPr>
          <w:p>
            <w:pPr>
              <w:pStyle w:val="0"/>
            </w:pPr>
            <w:r>
              <w:rPr>
                <w:sz w:val="24"/>
              </w:rPr>
              <w:t xml:space="preserve">Марганцевые руды</w:t>
            </w:r>
          </w:p>
        </w:tc>
        <w:tc>
          <w:tcPr>
            <w:tcW w:w="1411" w:type="dxa"/>
          </w:tcPr>
          <w:p>
            <w:pPr>
              <w:pStyle w:val="0"/>
              <w:jc w:val="center"/>
            </w:pPr>
            <w:r>
              <w:rPr>
                <w:sz w:val="24"/>
              </w:rPr>
              <w:t xml:space="preserve">млн. т</w:t>
            </w:r>
          </w:p>
        </w:tc>
        <w:tc>
          <w:tcPr>
            <w:tcW w:w="1587" w:type="dxa"/>
          </w:tcPr>
          <w:p>
            <w:pPr>
              <w:pStyle w:val="0"/>
              <w:jc w:val="center"/>
            </w:pPr>
            <w:r>
              <w:rPr>
                <w:sz w:val="24"/>
              </w:rPr>
              <w:t xml:space="preserve">3</w:t>
            </w:r>
          </w:p>
        </w:tc>
        <w:tc>
          <w:tcPr>
            <w:tcW w:w="1814" w:type="dxa"/>
          </w:tcPr>
          <w:p>
            <w:pPr>
              <w:pStyle w:val="0"/>
              <w:jc w:val="center"/>
            </w:pPr>
            <w:r>
              <w:rPr>
                <w:sz w:val="24"/>
              </w:rPr>
              <w:t xml:space="preserve">6</w:t>
            </w:r>
          </w:p>
        </w:tc>
      </w:tr>
      <w:tr>
        <w:tc>
          <w:tcPr>
            <w:tcW w:w="4195" w:type="dxa"/>
          </w:tcPr>
          <w:p>
            <w:pPr>
              <w:pStyle w:val="0"/>
            </w:pPr>
            <w:r>
              <w:rPr>
                <w:sz w:val="24"/>
              </w:rPr>
              <w:t xml:space="preserve">Хромовые руды</w:t>
            </w:r>
          </w:p>
        </w:tc>
        <w:tc>
          <w:tcPr>
            <w:tcW w:w="1411" w:type="dxa"/>
          </w:tcPr>
          <w:p>
            <w:pPr>
              <w:pStyle w:val="0"/>
              <w:jc w:val="center"/>
            </w:pPr>
            <w:r>
              <w:rPr>
                <w:sz w:val="24"/>
              </w:rPr>
              <w:t xml:space="preserve">млн. т</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gridSpan w:val="4"/>
            <w:tcW w:w="9007" w:type="dxa"/>
          </w:tcPr>
          <w:p>
            <w:pPr>
              <w:pStyle w:val="0"/>
              <w:outlineLvl w:val="2"/>
            </w:pPr>
            <w:r>
              <w:rPr>
                <w:sz w:val="24"/>
              </w:rPr>
              <w:t xml:space="preserve">IV. Цветные и редкие металлы</w:t>
            </w:r>
          </w:p>
        </w:tc>
      </w:tr>
      <w:tr>
        <w:tc>
          <w:tcPr>
            <w:tcW w:w="4195" w:type="dxa"/>
          </w:tcPr>
          <w:p>
            <w:pPr>
              <w:pStyle w:val="0"/>
            </w:pPr>
            <w:r>
              <w:rPr>
                <w:sz w:val="24"/>
              </w:rPr>
              <w:t xml:space="preserve">Алюминиевое сырье, в т.ч. бокситы для производства глинозема, алуниты, нефелины</w:t>
            </w:r>
          </w:p>
        </w:tc>
        <w:tc>
          <w:tcPr>
            <w:tcW w:w="1411" w:type="dxa"/>
          </w:tcPr>
          <w:p>
            <w:pPr>
              <w:pStyle w:val="0"/>
              <w:jc w:val="center"/>
            </w:pPr>
            <w:r>
              <w:rPr>
                <w:sz w:val="24"/>
              </w:rPr>
              <w:t xml:space="preserve">млн. т</w:t>
            </w:r>
          </w:p>
        </w:tc>
        <w:tc>
          <w:tcPr>
            <w:tcW w:w="1587" w:type="dxa"/>
          </w:tcPr>
          <w:p>
            <w:pPr>
              <w:pStyle w:val="0"/>
              <w:jc w:val="center"/>
            </w:pPr>
            <w:r>
              <w:rPr>
                <w:sz w:val="24"/>
              </w:rPr>
              <w:t xml:space="preserve">10</w:t>
            </w:r>
          </w:p>
        </w:tc>
        <w:tc>
          <w:tcPr>
            <w:tcW w:w="1814" w:type="dxa"/>
          </w:tcPr>
          <w:p>
            <w:pPr>
              <w:pStyle w:val="0"/>
              <w:jc w:val="center"/>
            </w:pPr>
            <w:r>
              <w:rPr>
                <w:sz w:val="24"/>
              </w:rPr>
              <w:t xml:space="preserve">20</w:t>
            </w:r>
          </w:p>
        </w:tc>
      </w:tr>
      <w:tr>
        <w:tc>
          <w:tcPr>
            <w:tcW w:w="4195" w:type="dxa"/>
          </w:tcPr>
          <w:p>
            <w:pPr>
              <w:pStyle w:val="0"/>
            </w:pPr>
            <w:r>
              <w:rPr>
                <w:sz w:val="24"/>
              </w:rPr>
              <w:t xml:space="preserve">Вольфрам</w:t>
            </w:r>
          </w:p>
        </w:tc>
        <w:tc>
          <w:tcPr>
            <w:tcW w:w="1411" w:type="dxa"/>
          </w:tcPr>
          <w:p>
            <w:pPr>
              <w:pStyle w:val="0"/>
              <w:jc w:val="center"/>
            </w:pPr>
            <w:r>
              <w:rPr>
                <w:sz w:val="24"/>
              </w:rPr>
              <w:t xml:space="preserve">тыс. т</w:t>
            </w:r>
          </w:p>
          <w:p>
            <w:pPr>
              <w:pStyle w:val="0"/>
              <w:jc w:val="center"/>
            </w:pPr>
            <w:r>
              <w:rPr>
                <w:sz w:val="24"/>
              </w:rPr>
              <w:t xml:space="preserve">WO</w:t>
            </w:r>
            <w:r>
              <w:rPr>
                <w:sz w:val="24"/>
                <w:vertAlign w:val="subscript"/>
              </w:rPr>
              <w:t xml:space="preserve">3</w:t>
            </w:r>
          </w:p>
        </w:tc>
        <w:tc>
          <w:tcPr>
            <w:tcW w:w="1587" w:type="dxa"/>
          </w:tcPr>
          <w:p>
            <w:pPr>
              <w:pStyle w:val="0"/>
              <w:jc w:val="center"/>
            </w:pPr>
            <w:r>
              <w:rPr>
                <w:sz w:val="24"/>
              </w:rPr>
              <w:t xml:space="preserve">10</w:t>
            </w:r>
          </w:p>
        </w:tc>
        <w:tc>
          <w:tcPr>
            <w:tcW w:w="1814" w:type="dxa"/>
          </w:tcPr>
          <w:p>
            <w:pPr>
              <w:pStyle w:val="0"/>
              <w:jc w:val="center"/>
            </w:pPr>
            <w:r>
              <w:rPr>
                <w:sz w:val="24"/>
              </w:rPr>
              <w:t xml:space="preserve">20</w:t>
            </w:r>
          </w:p>
        </w:tc>
      </w:tr>
      <w:tr>
        <w:tc>
          <w:tcPr>
            <w:tcW w:w="4195" w:type="dxa"/>
          </w:tcPr>
          <w:p>
            <w:pPr>
              <w:pStyle w:val="0"/>
            </w:pPr>
            <w:r>
              <w:rPr>
                <w:sz w:val="24"/>
              </w:rPr>
              <w:t xml:space="preserve">Висмут</w:t>
            </w:r>
          </w:p>
        </w:tc>
        <w:tc>
          <w:tcPr>
            <w:tcW w:w="1411" w:type="dxa"/>
          </w:tcPr>
          <w:p>
            <w:pPr>
              <w:pStyle w:val="0"/>
              <w:jc w:val="center"/>
            </w:pPr>
            <w:r>
              <w:rPr>
                <w:sz w:val="24"/>
              </w:rPr>
              <w:t xml:space="preserve">тыс. т</w:t>
            </w:r>
          </w:p>
        </w:tc>
        <w:tc>
          <w:tcPr>
            <w:tcW w:w="1587" w:type="dxa"/>
          </w:tcPr>
          <w:p>
            <w:pPr>
              <w:pStyle w:val="0"/>
              <w:jc w:val="center"/>
            </w:pPr>
            <w:r>
              <w:rPr>
                <w:sz w:val="24"/>
              </w:rPr>
              <w:t xml:space="preserve">5</w:t>
            </w:r>
          </w:p>
        </w:tc>
        <w:tc>
          <w:tcPr>
            <w:tcW w:w="1814" w:type="dxa"/>
          </w:tcPr>
          <w:p>
            <w:pPr>
              <w:pStyle w:val="0"/>
              <w:jc w:val="center"/>
            </w:pPr>
            <w:r>
              <w:rPr>
                <w:sz w:val="24"/>
              </w:rPr>
              <w:t xml:space="preserve">10</w:t>
            </w:r>
          </w:p>
        </w:tc>
      </w:tr>
      <w:tr>
        <w:tc>
          <w:tcPr>
            <w:tcW w:w="4195" w:type="dxa"/>
          </w:tcPr>
          <w:p>
            <w:pPr>
              <w:pStyle w:val="0"/>
            </w:pPr>
            <w:r>
              <w:rPr>
                <w:sz w:val="24"/>
              </w:rPr>
              <w:t xml:space="preserve">Медь</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100</w:t>
            </w:r>
          </w:p>
        </w:tc>
        <w:tc>
          <w:tcPr>
            <w:tcW w:w="1814" w:type="dxa"/>
          </w:tcPr>
          <w:p>
            <w:pPr>
              <w:pStyle w:val="0"/>
              <w:jc w:val="center"/>
            </w:pPr>
            <w:r>
              <w:rPr>
                <w:sz w:val="24"/>
              </w:rPr>
              <w:t xml:space="preserve">200</w:t>
            </w:r>
          </w:p>
        </w:tc>
      </w:tr>
      <w:tr>
        <w:tc>
          <w:tcPr>
            <w:tcW w:w="4195" w:type="dxa"/>
          </w:tcPr>
          <w:p>
            <w:pPr>
              <w:pStyle w:val="0"/>
            </w:pPr>
            <w:r>
              <w:rPr>
                <w:sz w:val="24"/>
              </w:rPr>
              <w:t xml:space="preserve">Молибден</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10</w:t>
            </w:r>
          </w:p>
        </w:tc>
        <w:tc>
          <w:tcPr>
            <w:tcW w:w="1814" w:type="dxa"/>
          </w:tcPr>
          <w:p>
            <w:pPr>
              <w:pStyle w:val="0"/>
              <w:jc w:val="center"/>
            </w:pPr>
            <w:r>
              <w:rPr>
                <w:sz w:val="24"/>
              </w:rPr>
              <w:t xml:space="preserve">20</w:t>
            </w:r>
          </w:p>
        </w:tc>
      </w:tr>
      <w:tr>
        <w:tc>
          <w:tcPr>
            <w:tcW w:w="4195" w:type="dxa"/>
          </w:tcPr>
          <w:p>
            <w:pPr>
              <w:pStyle w:val="0"/>
            </w:pPr>
            <w:r>
              <w:rPr>
                <w:sz w:val="24"/>
              </w:rPr>
              <w:t xml:space="preserve">Олово</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10</w:t>
            </w:r>
          </w:p>
        </w:tc>
        <w:tc>
          <w:tcPr>
            <w:tcW w:w="1814" w:type="dxa"/>
          </w:tcPr>
          <w:p>
            <w:pPr>
              <w:pStyle w:val="0"/>
              <w:jc w:val="center"/>
            </w:pPr>
            <w:r>
              <w:rPr>
                <w:sz w:val="24"/>
              </w:rPr>
              <w:t xml:space="preserve">20</w:t>
            </w:r>
          </w:p>
        </w:tc>
      </w:tr>
      <w:tr>
        <w:tc>
          <w:tcPr>
            <w:tcW w:w="4195" w:type="dxa"/>
          </w:tcPr>
          <w:p>
            <w:pPr>
              <w:pStyle w:val="0"/>
            </w:pPr>
            <w:r>
              <w:rPr>
                <w:sz w:val="24"/>
              </w:rPr>
              <w:t xml:space="preserve">Ртуть</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tcW w:w="4195" w:type="dxa"/>
          </w:tcPr>
          <w:p>
            <w:pPr>
              <w:pStyle w:val="0"/>
            </w:pPr>
            <w:r>
              <w:rPr>
                <w:sz w:val="24"/>
              </w:rPr>
              <w:t xml:space="preserve">Свинец</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100</w:t>
            </w:r>
          </w:p>
        </w:tc>
        <w:tc>
          <w:tcPr>
            <w:tcW w:w="1814" w:type="dxa"/>
          </w:tcPr>
          <w:p>
            <w:pPr>
              <w:pStyle w:val="0"/>
              <w:jc w:val="center"/>
            </w:pPr>
            <w:r>
              <w:rPr>
                <w:sz w:val="24"/>
              </w:rPr>
              <w:t xml:space="preserve">200</w:t>
            </w:r>
          </w:p>
        </w:tc>
      </w:tr>
      <w:tr>
        <w:tc>
          <w:tcPr>
            <w:tcW w:w="4195" w:type="dxa"/>
          </w:tcPr>
          <w:p>
            <w:pPr>
              <w:pStyle w:val="0"/>
            </w:pPr>
            <w:r>
              <w:rPr>
                <w:sz w:val="24"/>
              </w:rPr>
              <w:t xml:space="preserve">Стронций</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100</w:t>
            </w:r>
          </w:p>
        </w:tc>
        <w:tc>
          <w:tcPr>
            <w:tcW w:w="1814" w:type="dxa"/>
          </w:tcPr>
          <w:p>
            <w:pPr>
              <w:pStyle w:val="0"/>
              <w:jc w:val="center"/>
            </w:pPr>
            <w:r>
              <w:rPr>
                <w:sz w:val="24"/>
              </w:rPr>
              <w:t xml:space="preserve">200</w:t>
            </w:r>
          </w:p>
        </w:tc>
      </w:tr>
      <w:tr>
        <w:tc>
          <w:tcPr>
            <w:tcW w:w="4195" w:type="dxa"/>
          </w:tcPr>
          <w:p>
            <w:pPr>
              <w:pStyle w:val="0"/>
            </w:pPr>
            <w:r>
              <w:rPr>
                <w:sz w:val="24"/>
              </w:rPr>
              <w:t xml:space="preserve">Сурьма</w:t>
            </w:r>
          </w:p>
        </w:tc>
        <w:tc>
          <w:tcPr>
            <w:tcW w:w="1411" w:type="dxa"/>
          </w:tcPr>
          <w:p>
            <w:pPr>
              <w:pStyle w:val="0"/>
              <w:jc w:val="center"/>
            </w:pPr>
            <w:r>
              <w:rPr>
                <w:sz w:val="24"/>
              </w:rPr>
              <w:t xml:space="preserve">тыс. т</w:t>
            </w:r>
          </w:p>
        </w:tc>
        <w:tc>
          <w:tcPr>
            <w:tcW w:w="1587" w:type="dxa"/>
          </w:tcPr>
          <w:p>
            <w:pPr>
              <w:pStyle w:val="0"/>
              <w:jc w:val="center"/>
            </w:pPr>
            <w:r>
              <w:rPr>
                <w:sz w:val="24"/>
              </w:rPr>
              <w:t xml:space="preserve">20</w:t>
            </w:r>
          </w:p>
        </w:tc>
        <w:tc>
          <w:tcPr>
            <w:tcW w:w="1814" w:type="dxa"/>
          </w:tcPr>
          <w:p>
            <w:pPr>
              <w:pStyle w:val="0"/>
              <w:jc w:val="center"/>
            </w:pPr>
            <w:r>
              <w:rPr>
                <w:sz w:val="24"/>
              </w:rPr>
              <w:t xml:space="preserve">40</w:t>
            </w:r>
          </w:p>
        </w:tc>
      </w:tr>
      <w:tr>
        <w:tc>
          <w:tcPr>
            <w:tcW w:w="4195" w:type="dxa"/>
          </w:tcPr>
          <w:p>
            <w:pPr>
              <w:pStyle w:val="0"/>
            </w:pPr>
            <w:r>
              <w:rPr>
                <w:sz w:val="24"/>
              </w:rPr>
              <w:t xml:space="preserve">Титан коренной</w:t>
            </w:r>
          </w:p>
        </w:tc>
        <w:tc>
          <w:tcPr>
            <w:tcW w:w="1411" w:type="dxa"/>
          </w:tcPr>
          <w:p>
            <w:pPr>
              <w:pStyle w:val="0"/>
              <w:jc w:val="center"/>
            </w:pPr>
            <w:r>
              <w:rPr>
                <w:sz w:val="24"/>
              </w:rPr>
              <w:t xml:space="preserve">млн. т</w:t>
            </w:r>
          </w:p>
          <w:p>
            <w:pPr>
              <w:pStyle w:val="0"/>
              <w:jc w:val="center"/>
            </w:pPr>
            <w:r>
              <w:rPr>
                <w:sz w:val="24"/>
              </w:rPr>
              <w:t xml:space="preserve">TiO</w:t>
            </w:r>
            <w:r>
              <w:rPr>
                <w:sz w:val="24"/>
                <w:vertAlign w:val="subscript"/>
              </w:rPr>
              <w:t xml:space="preserve">2</w:t>
            </w:r>
          </w:p>
        </w:tc>
        <w:tc>
          <w:tcPr>
            <w:tcW w:w="1587" w:type="dxa"/>
          </w:tcPr>
          <w:p>
            <w:pPr>
              <w:pStyle w:val="0"/>
              <w:jc w:val="center"/>
            </w:pPr>
            <w:r>
              <w:rPr>
                <w:sz w:val="24"/>
              </w:rPr>
              <w:t xml:space="preserve">5</w:t>
            </w:r>
          </w:p>
        </w:tc>
        <w:tc>
          <w:tcPr>
            <w:tcW w:w="1814" w:type="dxa"/>
          </w:tcPr>
          <w:p>
            <w:pPr>
              <w:pStyle w:val="0"/>
              <w:jc w:val="center"/>
            </w:pPr>
            <w:r>
              <w:rPr>
                <w:sz w:val="24"/>
              </w:rPr>
              <w:t xml:space="preserve">10</w:t>
            </w:r>
          </w:p>
        </w:tc>
      </w:tr>
      <w:tr>
        <w:tc>
          <w:tcPr>
            <w:tcW w:w="4195" w:type="dxa"/>
          </w:tcPr>
          <w:p>
            <w:pPr>
              <w:pStyle w:val="0"/>
            </w:pPr>
            <w:r>
              <w:rPr>
                <w:sz w:val="24"/>
              </w:rPr>
              <w:t xml:space="preserve">Титан россыпной</w:t>
            </w:r>
          </w:p>
        </w:tc>
        <w:tc>
          <w:tcPr>
            <w:tcW w:w="1411" w:type="dxa"/>
          </w:tcPr>
          <w:p>
            <w:pPr>
              <w:pStyle w:val="0"/>
              <w:jc w:val="center"/>
            </w:pPr>
            <w:r>
              <w:rPr>
                <w:sz w:val="24"/>
              </w:rPr>
              <w:t xml:space="preserve">млн. т</w:t>
            </w:r>
          </w:p>
          <w:p>
            <w:pPr>
              <w:pStyle w:val="0"/>
              <w:jc w:val="center"/>
            </w:pPr>
            <w:r>
              <w:rPr>
                <w:sz w:val="24"/>
              </w:rPr>
              <w:t xml:space="preserve">TiO</w:t>
            </w:r>
            <w:r>
              <w:rPr>
                <w:sz w:val="24"/>
                <w:vertAlign w:val="subscript"/>
              </w:rPr>
              <w:t xml:space="preserve">2</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tcW w:w="4195" w:type="dxa"/>
          </w:tcPr>
          <w:p>
            <w:pPr>
              <w:pStyle w:val="0"/>
            </w:pPr>
            <w:r>
              <w:rPr>
                <w:sz w:val="24"/>
              </w:rPr>
              <w:t xml:space="preserve">Цезий (оксид)</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tcW w:w="4195" w:type="dxa"/>
          </w:tcPr>
          <w:p>
            <w:pPr>
              <w:pStyle w:val="0"/>
            </w:pPr>
            <w:r>
              <w:rPr>
                <w:sz w:val="24"/>
              </w:rPr>
              <w:t xml:space="preserve">Цинк</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100</w:t>
            </w:r>
          </w:p>
        </w:tc>
        <w:tc>
          <w:tcPr>
            <w:tcW w:w="1814" w:type="dxa"/>
          </w:tcPr>
          <w:p>
            <w:pPr>
              <w:pStyle w:val="0"/>
              <w:jc w:val="center"/>
            </w:pPr>
            <w:r>
              <w:rPr>
                <w:sz w:val="24"/>
              </w:rPr>
              <w:t xml:space="preserve">200</w:t>
            </w:r>
          </w:p>
        </w:tc>
      </w:tr>
      <w:tr>
        <w:tc>
          <w:tcPr>
            <w:tcW w:w="4195" w:type="dxa"/>
          </w:tcPr>
          <w:p>
            <w:pPr>
              <w:pStyle w:val="0"/>
            </w:pPr>
            <w:r>
              <w:rPr>
                <w:sz w:val="24"/>
              </w:rPr>
              <w:t xml:space="preserve">Цирконий</w:t>
            </w:r>
          </w:p>
        </w:tc>
        <w:tc>
          <w:tcPr>
            <w:tcW w:w="1411" w:type="dxa"/>
          </w:tcPr>
          <w:p>
            <w:pPr>
              <w:pStyle w:val="0"/>
              <w:jc w:val="center"/>
            </w:pPr>
            <w:r>
              <w:rPr>
                <w:sz w:val="24"/>
              </w:rPr>
              <w:t xml:space="preserve">млн. т</w:t>
            </w:r>
          </w:p>
          <w:p>
            <w:pPr>
              <w:pStyle w:val="0"/>
              <w:jc w:val="center"/>
            </w:pPr>
            <w:r>
              <w:rPr>
                <w:sz w:val="24"/>
              </w:rPr>
              <w:t xml:space="preserve">ZrO</w:t>
            </w:r>
            <w:r>
              <w:rPr>
                <w:sz w:val="24"/>
                <w:vertAlign w:val="subscript"/>
              </w:rPr>
              <w:t xml:space="preserve">2</w:t>
            </w:r>
          </w:p>
        </w:tc>
        <w:tc>
          <w:tcPr>
            <w:tcW w:w="1587" w:type="dxa"/>
          </w:tcPr>
          <w:p>
            <w:pPr>
              <w:pStyle w:val="0"/>
              <w:jc w:val="center"/>
            </w:pPr>
            <w:r>
              <w:rPr>
                <w:sz w:val="24"/>
              </w:rPr>
              <w:t xml:space="preserve">0,5</w:t>
            </w:r>
          </w:p>
        </w:tc>
        <w:tc>
          <w:tcPr>
            <w:tcW w:w="1814" w:type="dxa"/>
          </w:tcPr>
          <w:p>
            <w:pPr>
              <w:pStyle w:val="0"/>
              <w:jc w:val="center"/>
            </w:pPr>
            <w:r>
              <w:rPr>
                <w:sz w:val="24"/>
              </w:rPr>
              <w:t xml:space="preserve">1</w:t>
            </w:r>
          </w:p>
        </w:tc>
      </w:tr>
      <w:tr>
        <w:tc>
          <w:tcPr>
            <w:gridSpan w:val="3"/>
            <w:tcW w:w="7193" w:type="dxa"/>
          </w:tcPr>
          <w:p>
            <w:pPr>
              <w:pStyle w:val="0"/>
              <w:outlineLvl w:val="2"/>
            </w:pPr>
            <w:r>
              <w:rPr>
                <w:sz w:val="24"/>
              </w:rPr>
              <w:t xml:space="preserve">V. Благородные металлы</w:t>
            </w:r>
          </w:p>
        </w:tc>
        <w:tc>
          <w:tcPr>
            <w:tcW w:w="1814" w:type="dxa"/>
          </w:tcPr>
          <w:p>
            <w:pPr>
              <w:pStyle w:val="0"/>
            </w:pPr>
            <w:r>
              <w:rPr>
                <w:sz w:val="24"/>
              </w:rPr>
            </w:r>
          </w:p>
        </w:tc>
      </w:tr>
      <w:tr>
        <w:tc>
          <w:tcPr>
            <w:tcW w:w="4195" w:type="dxa"/>
          </w:tcPr>
          <w:p>
            <w:pPr>
              <w:pStyle w:val="0"/>
            </w:pPr>
            <w:r>
              <w:rPr>
                <w:sz w:val="24"/>
              </w:rPr>
              <w:t xml:space="preserve">Золото коренное</w:t>
            </w:r>
          </w:p>
        </w:tc>
        <w:tc>
          <w:tcPr>
            <w:tcW w:w="1411" w:type="dxa"/>
          </w:tcPr>
          <w:p>
            <w:pPr>
              <w:pStyle w:val="0"/>
              <w:jc w:val="center"/>
            </w:pPr>
            <w:r>
              <w:rPr>
                <w:sz w:val="24"/>
              </w:rPr>
              <w:t xml:space="preserve">т</w:t>
            </w:r>
          </w:p>
        </w:tc>
        <w:tc>
          <w:tcPr>
            <w:tcW w:w="1587" w:type="dxa"/>
          </w:tcPr>
          <w:p>
            <w:pPr>
              <w:pStyle w:val="0"/>
              <w:jc w:val="center"/>
            </w:pPr>
            <w:r>
              <w:rPr>
                <w:sz w:val="24"/>
              </w:rPr>
              <w:t xml:space="preserve">10</w:t>
            </w:r>
          </w:p>
        </w:tc>
        <w:tc>
          <w:tcPr>
            <w:tcW w:w="1814" w:type="dxa"/>
          </w:tcPr>
          <w:p>
            <w:pPr>
              <w:pStyle w:val="0"/>
              <w:jc w:val="center"/>
            </w:pPr>
            <w:r>
              <w:rPr>
                <w:sz w:val="24"/>
              </w:rPr>
              <w:t xml:space="preserve">20</w:t>
            </w:r>
          </w:p>
        </w:tc>
      </w:tr>
      <w:tr>
        <w:tc>
          <w:tcPr>
            <w:tcW w:w="4195" w:type="dxa"/>
          </w:tcPr>
          <w:p>
            <w:pPr>
              <w:pStyle w:val="0"/>
            </w:pPr>
            <w:r>
              <w:rPr>
                <w:sz w:val="24"/>
              </w:rPr>
              <w:t xml:space="preserve">Золото россыпное</w:t>
            </w:r>
          </w:p>
        </w:tc>
        <w:tc>
          <w:tcPr>
            <w:tcW w:w="1411" w:type="dxa"/>
          </w:tcPr>
          <w:p>
            <w:pPr>
              <w:pStyle w:val="0"/>
              <w:jc w:val="center"/>
            </w:pPr>
            <w:r>
              <w:rPr>
                <w:sz w:val="24"/>
              </w:rPr>
              <w:t xml:space="preserve">т</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tcW w:w="4195" w:type="dxa"/>
          </w:tcPr>
          <w:p>
            <w:pPr>
              <w:pStyle w:val="0"/>
            </w:pPr>
            <w:r>
              <w:rPr>
                <w:sz w:val="24"/>
              </w:rPr>
              <w:t xml:space="preserve">Серебро</w:t>
            </w:r>
          </w:p>
        </w:tc>
        <w:tc>
          <w:tcPr>
            <w:tcW w:w="1411" w:type="dxa"/>
          </w:tcPr>
          <w:p>
            <w:pPr>
              <w:pStyle w:val="0"/>
              <w:jc w:val="center"/>
            </w:pPr>
            <w:r>
              <w:rPr>
                <w:sz w:val="24"/>
              </w:rPr>
              <w:t xml:space="preserve">т</w:t>
            </w:r>
          </w:p>
        </w:tc>
        <w:tc>
          <w:tcPr>
            <w:tcW w:w="1587" w:type="dxa"/>
          </w:tcPr>
          <w:p>
            <w:pPr>
              <w:pStyle w:val="0"/>
              <w:jc w:val="center"/>
            </w:pPr>
            <w:r>
              <w:rPr>
                <w:sz w:val="24"/>
              </w:rPr>
              <w:t xml:space="preserve">1000</w:t>
            </w:r>
          </w:p>
        </w:tc>
        <w:tc>
          <w:tcPr>
            <w:tcW w:w="1814" w:type="dxa"/>
          </w:tcPr>
          <w:p>
            <w:pPr>
              <w:pStyle w:val="0"/>
              <w:jc w:val="center"/>
            </w:pPr>
            <w:r>
              <w:rPr>
                <w:sz w:val="24"/>
              </w:rPr>
              <w:t xml:space="preserve">2000</w:t>
            </w:r>
          </w:p>
        </w:tc>
      </w:tr>
      <w:tr>
        <w:tc>
          <w:tcPr>
            <w:gridSpan w:val="4"/>
            <w:tcW w:w="9007" w:type="dxa"/>
          </w:tcPr>
          <w:p>
            <w:pPr>
              <w:pStyle w:val="0"/>
              <w:outlineLvl w:val="2"/>
            </w:pPr>
            <w:r>
              <w:rPr>
                <w:sz w:val="24"/>
              </w:rPr>
              <w:t xml:space="preserve">VI. Промышленные воды - гидроминеральное сырье, обеспечивающие производство:</w:t>
            </w:r>
          </w:p>
        </w:tc>
      </w:tr>
      <w:tr>
        <w:tc>
          <w:tcPr>
            <w:tcW w:w="4195" w:type="dxa"/>
          </w:tcPr>
          <w:p>
            <w:pPr>
              <w:pStyle w:val="0"/>
            </w:pPr>
            <w:r>
              <w:rPr>
                <w:sz w:val="24"/>
              </w:rPr>
              <w:t xml:space="preserve">Йод</w:t>
            </w:r>
          </w:p>
        </w:tc>
        <w:tc>
          <w:tcPr>
            <w:tcW w:w="1411" w:type="dxa"/>
          </w:tcPr>
          <w:p>
            <w:pPr>
              <w:pStyle w:val="0"/>
              <w:jc w:val="center"/>
            </w:pPr>
            <w:r>
              <w:rPr>
                <w:sz w:val="24"/>
              </w:rPr>
              <w:t xml:space="preserve">т/год</w:t>
            </w:r>
          </w:p>
        </w:tc>
        <w:tc>
          <w:tcPr>
            <w:tcW w:w="1587" w:type="dxa"/>
          </w:tcPr>
          <w:p>
            <w:pPr>
              <w:pStyle w:val="0"/>
              <w:jc w:val="center"/>
            </w:pPr>
            <w:r>
              <w:rPr>
                <w:sz w:val="24"/>
              </w:rPr>
              <w:t xml:space="preserve">100</w:t>
            </w:r>
          </w:p>
        </w:tc>
        <w:tc>
          <w:tcPr>
            <w:tcW w:w="1814" w:type="dxa"/>
          </w:tcPr>
          <w:p>
            <w:pPr>
              <w:pStyle w:val="0"/>
              <w:jc w:val="center"/>
            </w:pPr>
            <w:r>
              <w:rPr>
                <w:sz w:val="24"/>
              </w:rPr>
              <w:t xml:space="preserve">500</w:t>
            </w:r>
          </w:p>
        </w:tc>
      </w:tr>
      <w:tr>
        <w:tc>
          <w:tcPr>
            <w:tcW w:w="4195" w:type="dxa"/>
          </w:tcPr>
          <w:p>
            <w:pPr>
              <w:pStyle w:val="0"/>
            </w:pPr>
            <w:r>
              <w:rPr>
                <w:sz w:val="24"/>
              </w:rPr>
              <w:t xml:space="preserve">Бром</w:t>
            </w:r>
          </w:p>
        </w:tc>
        <w:tc>
          <w:tcPr>
            <w:tcW w:w="1411" w:type="dxa"/>
          </w:tcPr>
          <w:p>
            <w:pPr>
              <w:pStyle w:val="0"/>
              <w:jc w:val="center"/>
            </w:pPr>
            <w:r>
              <w:rPr>
                <w:sz w:val="24"/>
              </w:rPr>
              <w:t xml:space="preserve">т/год</w:t>
            </w:r>
          </w:p>
        </w:tc>
        <w:tc>
          <w:tcPr>
            <w:tcW w:w="1587" w:type="dxa"/>
          </w:tcPr>
          <w:p>
            <w:pPr>
              <w:pStyle w:val="0"/>
              <w:jc w:val="center"/>
            </w:pPr>
            <w:r>
              <w:rPr>
                <w:sz w:val="24"/>
              </w:rPr>
              <w:t xml:space="preserve">1000</w:t>
            </w:r>
          </w:p>
        </w:tc>
        <w:tc>
          <w:tcPr>
            <w:tcW w:w="1814" w:type="dxa"/>
          </w:tcPr>
          <w:p>
            <w:pPr>
              <w:pStyle w:val="0"/>
              <w:jc w:val="center"/>
            </w:pPr>
            <w:r>
              <w:rPr>
                <w:sz w:val="24"/>
              </w:rPr>
              <w:t xml:space="preserve">2000</w:t>
            </w:r>
          </w:p>
        </w:tc>
      </w:tr>
      <w:tr>
        <w:tc>
          <w:tcPr>
            <w:gridSpan w:val="4"/>
            <w:tcW w:w="9007" w:type="dxa"/>
          </w:tcPr>
          <w:p>
            <w:pPr>
              <w:pStyle w:val="0"/>
              <w:outlineLvl w:val="2"/>
            </w:pPr>
            <w:r>
              <w:rPr>
                <w:sz w:val="24"/>
              </w:rPr>
              <w:t xml:space="preserve">VII. Горно-химическое сырье без ограничений, кроме</w:t>
            </w:r>
          </w:p>
        </w:tc>
      </w:tr>
      <w:tr>
        <w:tc>
          <w:tcPr>
            <w:tcW w:w="4195" w:type="dxa"/>
          </w:tcPr>
          <w:p>
            <w:pPr>
              <w:pStyle w:val="0"/>
            </w:pPr>
            <w:r>
              <w:rPr>
                <w:sz w:val="24"/>
              </w:rPr>
              <w:t xml:space="preserve">Апатиты и фосфориты</w:t>
            </w:r>
          </w:p>
        </w:tc>
        <w:tc>
          <w:tcPr>
            <w:tcW w:w="1411" w:type="dxa"/>
          </w:tcPr>
          <w:p>
            <w:pPr>
              <w:pStyle w:val="0"/>
              <w:jc w:val="center"/>
            </w:pPr>
            <w:r>
              <w:rPr>
                <w:sz w:val="24"/>
              </w:rPr>
              <w:t xml:space="preserve">млн. т</w:t>
            </w:r>
          </w:p>
          <w:p>
            <w:pPr>
              <w:pStyle w:val="0"/>
              <w:jc w:val="center"/>
            </w:pPr>
            <w:r>
              <w:rPr>
                <w:sz w:val="24"/>
              </w:rPr>
              <w:t xml:space="preserve">P</w:t>
            </w:r>
            <w:r>
              <w:rPr>
                <w:sz w:val="24"/>
                <w:vertAlign w:val="subscript"/>
              </w:rPr>
              <w:t xml:space="preserve">2</w:t>
            </w:r>
            <w:r>
              <w:rPr>
                <w:sz w:val="24"/>
              </w:rPr>
              <w:t xml:space="preserve">O</w:t>
            </w:r>
            <w:r>
              <w:rPr>
                <w:sz w:val="24"/>
                <w:vertAlign w:val="subscript"/>
              </w:rPr>
              <w:t xml:space="preserve">5</w:t>
            </w:r>
          </w:p>
        </w:tc>
        <w:tc>
          <w:tcPr>
            <w:tcW w:w="1587" w:type="dxa"/>
          </w:tcPr>
          <w:p>
            <w:pPr>
              <w:pStyle w:val="0"/>
              <w:jc w:val="center"/>
            </w:pPr>
            <w:r>
              <w:rPr>
                <w:sz w:val="24"/>
              </w:rPr>
              <w:t xml:space="preserve">20</w:t>
            </w:r>
          </w:p>
        </w:tc>
        <w:tc>
          <w:tcPr>
            <w:tcW w:w="1814" w:type="dxa"/>
          </w:tcPr>
          <w:p>
            <w:pPr>
              <w:pStyle w:val="0"/>
              <w:jc w:val="center"/>
            </w:pPr>
            <w:r>
              <w:rPr>
                <w:sz w:val="24"/>
              </w:rPr>
              <w:t xml:space="preserve">40</w:t>
            </w:r>
          </w:p>
        </w:tc>
      </w:tr>
      <w:tr>
        <w:tc>
          <w:tcPr>
            <w:tcW w:w="4195" w:type="dxa"/>
          </w:tcPr>
          <w:p>
            <w:pPr>
              <w:pStyle w:val="0"/>
            </w:pPr>
            <w:r>
              <w:rPr>
                <w:sz w:val="24"/>
              </w:rPr>
              <w:t xml:space="preserve">Борные руды</w:t>
            </w:r>
          </w:p>
        </w:tc>
        <w:tc>
          <w:tcPr>
            <w:tcW w:w="1411" w:type="dxa"/>
          </w:tcPr>
          <w:p>
            <w:pPr>
              <w:pStyle w:val="0"/>
              <w:jc w:val="center"/>
            </w:pPr>
            <w:r>
              <w:rPr>
                <w:sz w:val="24"/>
              </w:rPr>
              <w:t xml:space="preserve">млн. т</w:t>
            </w:r>
          </w:p>
          <w:p>
            <w:pPr>
              <w:pStyle w:val="0"/>
              <w:jc w:val="center"/>
            </w:pPr>
            <w:r>
              <w:rPr>
                <w:sz w:val="24"/>
              </w:rPr>
              <w:t xml:space="preserve">BO</w:t>
            </w:r>
            <w:r>
              <w:rPr>
                <w:sz w:val="24"/>
                <w:vertAlign w:val="subscript"/>
              </w:rPr>
              <w:t xml:space="preserve">3</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tcW w:w="4195" w:type="dxa"/>
          </w:tcPr>
          <w:p>
            <w:pPr>
              <w:pStyle w:val="0"/>
            </w:pPr>
            <w:r>
              <w:rPr>
                <w:sz w:val="24"/>
              </w:rPr>
              <w:t xml:space="preserve">Калийные соли</w:t>
            </w:r>
          </w:p>
        </w:tc>
        <w:tc>
          <w:tcPr>
            <w:tcW w:w="1411" w:type="dxa"/>
          </w:tcPr>
          <w:p>
            <w:pPr>
              <w:pStyle w:val="0"/>
              <w:jc w:val="center"/>
            </w:pPr>
            <w:r>
              <w:rPr>
                <w:sz w:val="24"/>
              </w:rPr>
              <w:t xml:space="preserve">млн. т</w:t>
            </w:r>
          </w:p>
        </w:tc>
        <w:tc>
          <w:tcPr>
            <w:tcW w:w="1587" w:type="dxa"/>
          </w:tcPr>
          <w:p>
            <w:pPr>
              <w:pStyle w:val="0"/>
              <w:jc w:val="center"/>
            </w:pPr>
            <w:r>
              <w:rPr>
                <w:sz w:val="24"/>
              </w:rPr>
              <w:t xml:space="preserve">200</w:t>
            </w:r>
          </w:p>
        </w:tc>
        <w:tc>
          <w:tcPr>
            <w:tcW w:w="1814" w:type="dxa"/>
          </w:tcPr>
          <w:p>
            <w:pPr>
              <w:pStyle w:val="0"/>
              <w:jc w:val="center"/>
            </w:pPr>
            <w:r>
              <w:rPr>
                <w:sz w:val="24"/>
              </w:rPr>
              <w:t xml:space="preserve">400</w:t>
            </w:r>
          </w:p>
        </w:tc>
      </w:tr>
      <w:tr>
        <w:tc>
          <w:tcPr>
            <w:tcW w:w="4195" w:type="dxa"/>
          </w:tcPr>
          <w:p>
            <w:pPr>
              <w:pStyle w:val="0"/>
            </w:pPr>
            <w:r>
              <w:rPr>
                <w:sz w:val="24"/>
              </w:rPr>
              <w:t xml:space="preserve">Сера самородная</w:t>
            </w:r>
          </w:p>
        </w:tc>
        <w:tc>
          <w:tcPr>
            <w:tcW w:w="1411" w:type="dxa"/>
          </w:tcPr>
          <w:p>
            <w:pPr>
              <w:pStyle w:val="0"/>
              <w:jc w:val="center"/>
            </w:pPr>
            <w:r>
              <w:rPr>
                <w:sz w:val="24"/>
              </w:rPr>
              <w:t xml:space="preserve">млн. т</w:t>
            </w:r>
          </w:p>
        </w:tc>
        <w:tc>
          <w:tcPr>
            <w:tcW w:w="1587" w:type="dxa"/>
          </w:tcPr>
          <w:p>
            <w:pPr>
              <w:pStyle w:val="0"/>
              <w:jc w:val="center"/>
            </w:pPr>
            <w:r>
              <w:rPr>
                <w:sz w:val="24"/>
              </w:rPr>
              <w:t xml:space="preserve">5</w:t>
            </w:r>
          </w:p>
        </w:tc>
        <w:tc>
          <w:tcPr>
            <w:tcW w:w="1814" w:type="dxa"/>
          </w:tcPr>
          <w:p>
            <w:pPr>
              <w:pStyle w:val="0"/>
              <w:jc w:val="center"/>
            </w:pPr>
            <w:r>
              <w:rPr>
                <w:sz w:val="24"/>
              </w:rPr>
              <w:t xml:space="preserve">10</w:t>
            </w:r>
          </w:p>
        </w:tc>
      </w:tr>
      <w:tr>
        <w:tc>
          <w:tcPr>
            <w:tcW w:w="4195" w:type="dxa"/>
          </w:tcPr>
          <w:p>
            <w:pPr>
              <w:pStyle w:val="0"/>
            </w:pPr>
            <w:r>
              <w:rPr>
                <w:sz w:val="24"/>
              </w:rPr>
              <w:t xml:space="preserve">Сода природная</w:t>
            </w:r>
          </w:p>
        </w:tc>
        <w:tc>
          <w:tcPr>
            <w:tcW w:w="1411" w:type="dxa"/>
          </w:tcPr>
          <w:p>
            <w:pPr>
              <w:pStyle w:val="0"/>
              <w:jc w:val="center"/>
            </w:pPr>
            <w:r>
              <w:rPr>
                <w:sz w:val="24"/>
              </w:rPr>
              <w:t xml:space="preserve">млн. т</w:t>
            </w:r>
          </w:p>
        </w:tc>
        <w:tc>
          <w:tcPr>
            <w:tcW w:w="1587" w:type="dxa"/>
          </w:tcPr>
          <w:p>
            <w:pPr>
              <w:pStyle w:val="0"/>
              <w:jc w:val="center"/>
            </w:pPr>
            <w:r>
              <w:rPr>
                <w:sz w:val="24"/>
              </w:rPr>
              <w:t xml:space="preserve">5</w:t>
            </w:r>
          </w:p>
        </w:tc>
        <w:tc>
          <w:tcPr>
            <w:tcW w:w="1814" w:type="dxa"/>
          </w:tcPr>
          <w:p>
            <w:pPr>
              <w:pStyle w:val="0"/>
              <w:jc w:val="center"/>
            </w:pPr>
            <w:r>
              <w:rPr>
                <w:sz w:val="24"/>
              </w:rPr>
              <w:t xml:space="preserve">10</w:t>
            </w:r>
          </w:p>
        </w:tc>
      </w:tr>
      <w:tr>
        <w:tc>
          <w:tcPr>
            <w:tcW w:w="4195" w:type="dxa"/>
          </w:tcPr>
          <w:p>
            <w:pPr>
              <w:pStyle w:val="0"/>
            </w:pPr>
            <w:r>
              <w:rPr>
                <w:sz w:val="24"/>
              </w:rPr>
              <w:t xml:space="preserve">Соли поваренные</w:t>
            </w:r>
          </w:p>
        </w:tc>
        <w:tc>
          <w:tcPr>
            <w:tcW w:w="1411" w:type="dxa"/>
          </w:tcPr>
          <w:p>
            <w:pPr>
              <w:pStyle w:val="0"/>
              <w:jc w:val="center"/>
            </w:pPr>
            <w:r>
              <w:rPr>
                <w:sz w:val="24"/>
              </w:rPr>
              <w:t xml:space="preserve">млн. т</w:t>
            </w:r>
          </w:p>
        </w:tc>
        <w:tc>
          <w:tcPr>
            <w:tcW w:w="1587" w:type="dxa"/>
          </w:tcPr>
          <w:p>
            <w:pPr>
              <w:pStyle w:val="0"/>
              <w:jc w:val="center"/>
            </w:pPr>
            <w:r>
              <w:rPr>
                <w:sz w:val="24"/>
              </w:rPr>
              <w:t xml:space="preserve">200</w:t>
            </w:r>
          </w:p>
        </w:tc>
        <w:tc>
          <w:tcPr>
            <w:tcW w:w="1814" w:type="dxa"/>
          </w:tcPr>
          <w:p>
            <w:pPr>
              <w:pStyle w:val="0"/>
              <w:jc w:val="center"/>
            </w:pPr>
            <w:r>
              <w:rPr>
                <w:sz w:val="24"/>
              </w:rPr>
              <w:t xml:space="preserve">400</w:t>
            </w:r>
          </w:p>
        </w:tc>
      </w:tr>
      <w:tr>
        <w:tc>
          <w:tcPr>
            <w:tcW w:w="4195" w:type="dxa"/>
          </w:tcPr>
          <w:p>
            <w:pPr>
              <w:pStyle w:val="0"/>
            </w:pPr>
            <w:r>
              <w:rPr>
                <w:sz w:val="24"/>
              </w:rPr>
              <w:t xml:space="preserve">Магниевые соли (бишофит)</w:t>
            </w:r>
          </w:p>
        </w:tc>
        <w:tc>
          <w:tcPr>
            <w:tcW w:w="1411" w:type="dxa"/>
          </w:tcPr>
          <w:p>
            <w:pPr>
              <w:pStyle w:val="0"/>
              <w:jc w:val="center"/>
            </w:pPr>
            <w:r>
              <w:rPr>
                <w:sz w:val="24"/>
              </w:rPr>
              <w:t xml:space="preserve">млн. т</w:t>
            </w:r>
          </w:p>
        </w:tc>
        <w:tc>
          <w:tcPr>
            <w:tcW w:w="1587" w:type="dxa"/>
          </w:tcPr>
          <w:p>
            <w:pPr>
              <w:pStyle w:val="0"/>
              <w:jc w:val="center"/>
            </w:pPr>
            <w:r>
              <w:rPr>
                <w:sz w:val="24"/>
              </w:rPr>
              <w:t xml:space="preserve">20</w:t>
            </w:r>
          </w:p>
        </w:tc>
        <w:tc>
          <w:tcPr>
            <w:tcW w:w="1814" w:type="dxa"/>
          </w:tcPr>
          <w:p>
            <w:pPr>
              <w:pStyle w:val="0"/>
              <w:jc w:val="center"/>
            </w:pPr>
            <w:r>
              <w:rPr>
                <w:sz w:val="24"/>
              </w:rPr>
              <w:t xml:space="preserve">40</w:t>
            </w:r>
          </w:p>
        </w:tc>
      </w:tr>
      <w:tr>
        <w:tc>
          <w:tcPr>
            <w:tcW w:w="4195" w:type="dxa"/>
          </w:tcPr>
          <w:p>
            <w:pPr>
              <w:pStyle w:val="0"/>
            </w:pPr>
            <w:r>
              <w:rPr>
                <w:sz w:val="24"/>
              </w:rPr>
              <w:t xml:space="preserve">Сульфат натрия</w:t>
            </w:r>
          </w:p>
        </w:tc>
        <w:tc>
          <w:tcPr>
            <w:tcW w:w="1411" w:type="dxa"/>
          </w:tcPr>
          <w:p>
            <w:pPr>
              <w:pStyle w:val="0"/>
              <w:jc w:val="center"/>
            </w:pPr>
            <w:r>
              <w:rPr>
                <w:sz w:val="24"/>
              </w:rPr>
              <w:t xml:space="preserve">млн. т</w:t>
            </w:r>
          </w:p>
        </w:tc>
        <w:tc>
          <w:tcPr>
            <w:tcW w:w="1587" w:type="dxa"/>
          </w:tcPr>
          <w:p>
            <w:pPr>
              <w:pStyle w:val="0"/>
              <w:jc w:val="center"/>
            </w:pPr>
            <w:r>
              <w:rPr>
                <w:sz w:val="24"/>
              </w:rPr>
              <w:t xml:space="preserve">5</w:t>
            </w:r>
          </w:p>
        </w:tc>
        <w:tc>
          <w:tcPr>
            <w:tcW w:w="1814" w:type="dxa"/>
          </w:tcPr>
          <w:p>
            <w:pPr>
              <w:pStyle w:val="0"/>
              <w:jc w:val="center"/>
            </w:pPr>
            <w:r>
              <w:rPr>
                <w:sz w:val="24"/>
              </w:rPr>
              <w:t xml:space="preserve">10</w:t>
            </w:r>
          </w:p>
        </w:tc>
      </w:tr>
      <w:tr>
        <w:tc>
          <w:tcPr>
            <w:gridSpan w:val="4"/>
            <w:tcW w:w="9007" w:type="dxa"/>
          </w:tcPr>
          <w:p>
            <w:pPr>
              <w:pStyle w:val="0"/>
              <w:outlineLvl w:val="2"/>
            </w:pPr>
            <w:r>
              <w:rPr>
                <w:sz w:val="24"/>
              </w:rPr>
              <w:t xml:space="preserve">VIII. Горнорудное сырье и нерудное сырье без ограничений, кроме</w:t>
            </w:r>
          </w:p>
        </w:tc>
      </w:tr>
      <w:tr>
        <w:tc>
          <w:tcPr>
            <w:tcW w:w="4195" w:type="dxa"/>
          </w:tcPr>
          <w:p>
            <w:pPr>
              <w:pStyle w:val="0"/>
            </w:pPr>
            <w:r>
              <w:rPr>
                <w:sz w:val="24"/>
              </w:rPr>
              <w:t xml:space="preserve">Асбест хризотиловый</w:t>
            </w:r>
          </w:p>
        </w:tc>
        <w:tc>
          <w:tcPr>
            <w:tcW w:w="1411" w:type="dxa"/>
          </w:tcPr>
          <w:p>
            <w:pPr>
              <w:pStyle w:val="0"/>
              <w:jc w:val="center"/>
            </w:pPr>
            <w:r>
              <w:rPr>
                <w:sz w:val="24"/>
              </w:rPr>
              <w:t xml:space="preserve">млн. т</w:t>
            </w:r>
          </w:p>
        </w:tc>
        <w:tc>
          <w:tcPr>
            <w:tcW w:w="1587" w:type="dxa"/>
          </w:tcPr>
          <w:p>
            <w:pPr>
              <w:pStyle w:val="0"/>
              <w:jc w:val="center"/>
            </w:pPr>
            <w:r>
              <w:rPr>
                <w:sz w:val="24"/>
              </w:rPr>
              <w:t xml:space="preserve">5</w:t>
            </w:r>
          </w:p>
        </w:tc>
        <w:tc>
          <w:tcPr>
            <w:tcW w:w="1814" w:type="dxa"/>
          </w:tcPr>
          <w:p>
            <w:pPr>
              <w:pStyle w:val="0"/>
              <w:jc w:val="center"/>
            </w:pPr>
            <w:r>
              <w:rPr>
                <w:sz w:val="24"/>
              </w:rPr>
              <w:t xml:space="preserve">10</w:t>
            </w:r>
          </w:p>
        </w:tc>
      </w:tr>
      <w:tr>
        <w:tc>
          <w:tcPr>
            <w:tcW w:w="4195" w:type="dxa"/>
          </w:tcPr>
          <w:p>
            <w:pPr>
              <w:pStyle w:val="0"/>
            </w:pPr>
            <w:r>
              <w:rPr>
                <w:sz w:val="24"/>
              </w:rPr>
              <w:t xml:space="preserve">Асбест антофиллитовый</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10</w:t>
            </w:r>
          </w:p>
        </w:tc>
        <w:tc>
          <w:tcPr>
            <w:tcW w:w="1814" w:type="dxa"/>
          </w:tcPr>
          <w:p>
            <w:pPr>
              <w:pStyle w:val="0"/>
              <w:jc w:val="center"/>
            </w:pPr>
            <w:r>
              <w:rPr>
                <w:sz w:val="24"/>
              </w:rPr>
              <w:t xml:space="preserve">20</w:t>
            </w:r>
          </w:p>
        </w:tc>
      </w:tr>
      <w:tr>
        <w:tc>
          <w:tcPr>
            <w:tcW w:w="4195" w:type="dxa"/>
          </w:tcPr>
          <w:p>
            <w:pPr>
              <w:pStyle w:val="0"/>
            </w:pPr>
            <w:r>
              <w:rPr>
                <w:sz w:val="24"/>
              </w:rPr>
              <w:t xml:space="preserve">Асбест амфиболитовый</w:t>
            </w:r>
          </w:p>
        </w:tc>
        <w:tc>
          <w:tcPr>
            <w:tcW w:w="1411" w:type="dxa"/>
          </w:tcPr>
          <w:p>
            <w:pPr>
              <w:pStyle w:val="0"/>
              <w:jc w:val="center"/>
            </w:pPr>
            <w:r>
              <w:rPr>
                <w:sz w:val="24"/>
              </w:rPr>
              <w:t xml:space="preserve">тыс. т</w:t>
            </w:r>
          </w:p>
        </w:tc>
        <w:tc>
          <w:tcPr>
            <w:tcW w:w="1587" w:type="dxa"/>
          </w:tcPr>
          <w:p>
            <w:pPr>
              <w:pStyle w:val="0"/>
              <w:jc w:val="center"/>
            </w:pPr>
            <w:r>
              <w:rPr>
                <w:sz w:val="24"/>
              </w:rPr>
              <w:t xml:space="preserve">2</w:t>
            </w:r>
          </w:p>
        </w:tc>
        <w:tc>
          <w:tcPr>
            <w:tcW w:w="1814" w:type="dxa"/>
          </w:tcPr>
          <w:p>
            <w:pPr>
              <w:pStyle w:val="0"/>
              <w:jc w:val="center"/>
            </w:pPr>
            <w:r>
              <w:rPr>
                <w:sz w:val="24"/>
              </w:rPr>
              <w:t xml:space="preserve">4</w:t>
            </w:r>
          </w:p>
        </w:tc>
      </w:tr>
      <w:tr>
        <w:tc>
          <w:tcPr>
            <w:tcW w:w="4195" w:type="dxa"/>
          </w:tcPr>
          <w:p>
            <w:pPr>
              <w:pStyle w:val="0"/>
            </w:pPr>
            <w:r>
              <w:rPr>
                <w:sz w:val="24"/>
              </w:rPr>
              <w:t xml:space="preserve">Барит</w:t>
            </w:r>
          </w:p>
        </w:tc>
        <w:tc>
          <w:tcPr>
            <w:tcW w:w="1411" w:type="dxa"/>
          </w:tcPr>
          <w:p>
            <w:pPr>
              <w:pStyle w:val="0"/>
              <w:jc w:val="center"/>
            </w:pPr>
            <w:r>
              <w:rPr>
                <w:sz w:val="24"/>
              </w:rPr>
              <w:t xml:space="preserve">млн. т</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tcW w:w="4195" w:type="dxa"/>
          </w:tcPr>
          <w:p>
            <w:pPr>
              <w:pStyle w:val="0"/>
            </w:pPr>
            <w:r>
              <w:rPr>
                <w:sz w:val="24"/>
              </w:rPr>
              <w:t xml:space="preserve">Брусит</w:t>
            </w:r>
          </w:p>
        </w:tc>
        <w:tc>
          <w:tcPr>
            <w:tcW w:w="1411" w:type="dxa"/>
          </w:tcPr>
          <w:p>
            <w:pPr>
              <w:pStyle w:val="0"/>
              <w:jc w:val="center"/>
            </w:pPr>
            <w:r>
              <w:rPr>
                <w:sz w:val="24"/>
              </w:rPr>
              <w:t xml:space="preserve">млн. т</w:t>
            </w:r>
          </w:p>
        </w:tc>
        <w:tc>
          <w:tcPr>
            <w:tcW w:w="1587" w:type="dxa"/>
          </w:tcPr>
          <w:p>
            <w:pPr>
              <w:pStyle w:val="0"/>
              <w:jc w:val="center"/>
            </w:pPr>
            <w:r>
              <w:rPr>
                <w:sz w:val="24"/>
              </w:rPr>
              <w:t xml:space="preserve">2</w:t>
            </w:r>
          </w:p>
        </w:tc>
        <w:tc>
          <w:tcPr>
            <w:tcW w:w="1814" w:type="dxa"/>
          </w:tcPr>
          <w:p>
            <w:pPr>
              <w:pStyle w:val="0"/>
              <w:jc w:val="center"/>
            </w:pPr>
            <w:r>
              <w:rPr>
                <w:sz w:val="24"/>
              </w:rPr>
              <w:t xml:space="preserve">4</w:t>
            </w:r>
          </w:p>
        </w:tc>
      </w:tr>
      <w:tr>
        <w:tc>
          <w:tcPr>
            <w:tcW w:w="4195" w:type="dxa"/>
          </w:tcPr>
          <w:p>
            <w:pPr>
              <w:pStyle w:val="0"/>
            </w:pPr>
            <w:r>
              <w:rPr>
                <w:sz w:val="24"/>
              </w:rPr>
              <w:t xml:space="preserve">Волластонит</w:t>
            </w:r>
          </w:p>
        </w:tc>
        <w:tc>
          <w:tcPr>
            <w:tcW w:w="1411" w:type="dxa"/>
          </w:tcPr>
          <w:p>
            <w:pPr>
              <w:pStyle w:val="0"/>
              <w:jc w:val="center"/>
            </w:pPr>
            <w:r>
              <w:rPr>
                <w:sz w:val="24"/>
              </w:rPr>
              <w:t xml:space="preserve">млн. м</w:t>
            </w:r>
            <w:r>
              <w:rPr>
                <w:sz w:val="24"/>
                <w:vertAlign w:val="superscript"/>
              </w:rPr>
              <w:t xml:space="preserve">3</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tcW w:w="4195" w:type="dxa"/>
          </w:tcPr>
          <w:p>
            <w:pPr>
              <w:pStyle w:val="0"/>
            </w:pPr>
            <w:r>
              <w:rPr>
                <w:sz w:val="24"/>
              </w:rPr>
              <w:t xml:space="preserve">Графит</w:t>
            </w:r>
          </w:p>
        </w:tc>
        <w:tc>
          <w:tcPr>
            <w:tcW w:w="1411" w:type="dxa"/>
          </w:tcPr>
          <w:p>
            <w:pPr>
              <w:pStyle w:val="0"/>
              <w:jc w:val="center"/>
            </w:pPr>
            <w:r>
              <w:rPr>
                <w:sz w:val="24"/>
              </w:rPr>
              <w:t xml:space="preserve">млн. т</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tcW w:w="4195" w:type="dxa"/>
          </w:tcPr>
          <w:p>
            <w:pPr>
              <w:pStyle w:val="0"/>
            </w:pPr>
            <w:r>
              <w:rPr>
                <w:sz w:val="24"/>
              </w:rPr>
              <w:t xml:space="preserve">Тальк, тальковый камень</w:t>
            </w:r>
          </w:p>
        </w:tc>
        <w:tc>
          <w:tcPr>
            <w:tcW w:w="1411" w:type="dxa"/>
          </w:tcPr>
          <w:p>
            <w:pPr>
              <w:pStyle w:val="0"/>
              <w:jc w:val="center"/>
            </w:pPr>
            <w:r>
              <w:rPr>
                <w:sz w:val="24"/>
              </w:rPr>
              <w:t xml:space="preserve">млн. т</w:t>
            </w:r>
          </w:p>
        </w:tc>
        <w:tc>
          <w:tcPr>
            <w:tcW w:w="1587" w:type="dxa"/>
          </w:tcPr>
          <w:p>
            <w:pPr>
              <w:pStyle w:val="0"/>
              <w:jc w:val="center"/>
            </w:pPr>
            <w:r>
              <w:rPr>
                <w:sz w:val="24"/>
              </w:rPr>
              <w:t xml:space="preserve">2</w:t>
            </w:r>
          </w:p>
        </w:tc>
        <w:tc>
          <w:tcPr>
            <w:tcW w:w="1814" w:type="dxa"/>
          </w:tcPr>
          <w:p>
            <w:pPr>
              <w:pStyle w:val="0"/>
              <w:jc w:val="center"/>
            </w:pPr>
            <w:r>
              <w:rPr>
                <w:sz w:val="24"/>
              </w:rPr>
              <w:t xml:space="preserve">4</w:t>
            </w:r>
          </w:p>
        </w:tc>
      </w:tr>
      <w:tr>
        <w:tc>
          <w:tcPr>
            <w:tcW w:w="4195" w:type="dxa"/>
          </w:tcPr>
          <w:p>
            <w:pPr>
              <w:pStyle w:val="0"/>
            </w:pPr>
            <w:r>
              <w:rPr>
                <w:sz w:val="24"/>
              </w:rPr>
              <w:t xml:space="preserve">Каолины</w:t>
            </w:r>
          </w:p>
        </w:tc>
        <w:tc>
          <w:tcPr>
            <w:tcW w:w="1411" w:type="dxa"/>
          </w:tcPr>
          <w:p>
            <w:pPr>
              <w:pStyle w:val="0"/>
              <w:jc w:val="center"/>
            </w:pPr>
            <w:r>
              <w:rPr>
                <w:sz w:val="24"/>
              </w:rPr>
              <w:t xml:space="preserve">млн. т</w:t>
            </w:r>
          </w:p>
        </w:tc>
        <w:tc>
          <w:tcPr>
            <w:tcW w:w="1587" w:type="dxa"/>
          </w:tcPr>
          <w:p>
            <w:pPr>
              <w:pStyle w:val="0"/>
              <w:jc w:val="center"/>
            </w:pPr>
            <w:r>
              <w:rPr>
                <w:sz w:val="24"/>
              </w:rPr>
              <w:t xml:space="preserve">5</w:t>
            </w:r>
          </w:p>
        </w:tc>
        <w:tc>
          <w:tcPr>
            <w:tcW w:w="1814" w:type="dxa"/>
          </w:tcPr>
          <w:p>
            <w:pPr>
              <w:pStyle w:val="0"/>
              <w:jc w:val="center"/>
            </w:pPr>
            <w:r>
              <w:rPr>
                <w:sz w:val="24"/>
              </w:rPr>
              <w:t xml:space="preserve">10</w:t>
            </w:r>
          </w:p>
        </w:tc>
      </w:tr>
      <w:tr>
        <w:tc>
          <w:tcPr>
            <w:tcW w:w="4195" w:type="dxa"/>
          </w:tcPr>
          <w:p>
            <w:pPr>
              <w:pStyle w:val="0"/>
            </w:pPr>
            <w:r>
              <w:rPr>
                <w:sz w:val="24"/>
              </w:rPr>
              <w:t xml:space="preserve">Магнезит</w:t>
            </w:r>
          </w:p>
        </w:tc>
        <w:tc>
          <w:tcPr>
            <w:tcW w:w="1411" w:type="dxa"/>
          </w:tcPr>
          <w:p>
            <w:pPr>
              <w:pStyle w:val="0"/>
              <w:jc w:val="center"/>
            </w:pPr>
            <w:r>
              <w:rPr>
                <w:sz w:val="24"/>
              </w:rPr>
              <w:t xml:space="preserve">млн. т</w:t>
            </w:r>
          </w:p>
        </w:tc>
        <w:tc>
          <w:tcPr>
            <w:tcW w:w="1587" w:type="dxa"/>
          </w:tcPr>
          <w:p>
            <w:pPr>
              <w:pStyle w:val="0"/>
              <w:jc w:val="center"/>
            </w:pPr>
            <w:r>
              <w:rPr>
                <w:sz w:val="24"/>
              </w:rPr>
              <w:t xml:space="preserve">10</w:t>
            </w:r>
          </w:p>
        </w:tc>
        <w:tc>
          <w:tcPr>
            <w:tcW w:w="1814" w:type="dxa"/>
          </w:tcPr>
          <w:p>
            <w:pPr>
              <w:pStyle w:val="0"/>
              <w:jc w:val="center"/>
            </w:pPr>
            <w:r>
              <w:rPr>
                <w:sz w:val="24"/>
              </w:rPr>
              <w:t xml:space="preserve">20</w:t>
            </w:r>
          </w:p>
        </w:tc>
      </w:tr>
      <w:tr>
        <w:tc>
          <w:tcPr>
            <w:tcW w:w="4195" w:type="dxa"/>
          </w:tcPr>
          <w:p>
            <w:pPr>
              <w:pStyle w:val="0"/>
            </w:pPr>
            <w:r>
              <w:rPr>
                <w:sz w:val="24"/>
              </w:rPr>
              <w:t xml:space="preserve">Мраморы (архитектурно-строительные, поделочные и статуарные)</w:t>
            </w:r>
          </w:p>
        </w:tc>
        <w:tc>
          <w:tcPr>
            <w:tcW w:w="1411" w:type="dxa"/>
          </w:tcPr>
          <w:p>
            <w:pPr>
              <w:pStyle w:val="0"/>
              <w:jc w:val="center"/>
            </w:pPr>
            <w:r>
              <w:rPr>
                <w:sz w:val="24"/>
              </w:rPr>
              <w:t xml:space="preserve">млн. т</w:t>
            </w:r>
          </w:p>
        </w:tc>
        <w:tc>
          <w:tcPr>
            <w:tcW w:w="1587" w:type="dxa"/>
          </w:tcPr>
          <w:p>
            <w:pPr>
              <w:pStyle w:val="0"/>
              <w:jc w:val="center"/>
            </w:pPr>
            <w:r>
              <w:rPr>
                <w:sz w:val="24"/>
              </w:rPr>
              <w:t xml:space="preserve">0,5</w:t>
            </w:r>
          </w:p>
        </w:tc>
        <w:tc>
          <w:tcPr>
            <w:tcW w:w="1814" w:type="dxa"/>
          </w:tcPr>
          <w:p>
            <w:pPr>
              <w:pStyle w:val="0"/>
              <w:jc w:val="center"/>
            </w:pPr>
            <w:r>
              <w:rPr>
                <w:sz w:val="24"/>
              </w:rPr>
              <w:t xml:space="preserve">1</w:t>
            </w:r>
          </w:p>
        </w:tc>
      </w:tr>
      <w:tr>
        <w:tc>
          <w:tcPr>
            <w:tcW w:w="4195" w:type="dxa"/>
          </w:tcPr>
          <w:p>
            <w:pPr>
              <w:pStyle w:val="0"/>
            </w:pPr>
            <w:r>
              <w:rPr>
                <w:sz w:val="24"/>
              </w:rPr>
              <w:t xml:space="preserve">Пески стекольные, формовочные</w:t>
            </w:r>
          </w:p>
        </w:tc>
        <w:tc>
          <w:tcPr>
            <w:tcW w:w="1411" w:type="dxa"/>
          </w:tcPr>
          <w:p>
            <w:pPr>
              <w:pStyle w:val="0"/>
              <w:jc w:val="center"/>
            </w:pPr>
            <w:r>
              <w:rPr>
                <w:sz w:val="24"/>
              </w:rPr>
              <w:t xml:space="preserve">млн. т</w:t>
            </w:r>
          </w:p>
        </w:tc>
        <w:tc>
          <w:tcPr>
            <w:tcW w:w="1587" w:type="dxa"/>
          </w:tcPr>
          <w:p>
            <w:pPr>
              <w:pStyle w:val="0"/>
              <w:jc w:val="center"/>
            </w:pPr>
            <w:r>
              <w:rPr>
                <w:sz w:val="24"/>
              </w:rPr>
              <w:t xml:space="preserve">10</w:t>
            </w:r>
          </w:p>
        </w:tc>
        <w:tc>
          <w:tcPr>
            <w:tcW w:w="1814" w:type="dxa"/>
          </w:tcPr>
          <w:p>
            <w:pPr>
              <w:pStyle w:val="0"/>
              <w:jc w:val="center"/>
            </w:pPr>
            <w:r>
              <w:rPr>
                <w:sz w:val="24"/>
              </w:rPr>
              <w:t xml:space="preserve">20</w:t>
            </w:r>
          </w:p>
        </w:tc>
      </w:tr>
      <w:tr>
        <w:tc>
          <w:tcPr>
            <w:tcW w:w="4195" w:type="dxa"/>
          </w:tcPr>
          <w:p>
            <w:pPr>
              <w:pStyle w:val="0"/>
            </w:pPr>
            <w:r>
              <w:rPr>
                <w:sz w:val="24"/>
              </w:rPr>
              <w:t xml:space="preserve">Плавиковый шпат</w:t>
            </w:r>
          </w:p>
        </w:tc>
        <w:tc>
          <w:tcPr>
            <w:tcW w:w="1411" w:type="dxa"/>
          </w:tcPr>
          <w:p>
            <w:pPr>
              <w:pStyle w:val="0"/>
              <w:jc w:val="center"/>
            </w:pPr>
            <w:r>
              <w:rPr>
                <w:sz w:val="24"/>
              </w:rPr>
              <w:t xml:space="preserve">млн. т</w:t>
            </w:r>
          </w:p>
        </w:tc>
        <w:tc>
          <w:tcPr>
            <w:tcW w:w="1587" w:type="dxa"/>
          </w:tcPr>
          <w:p>
            <w:pPr>
              <w:pStyle w:val="0"/>
              <w:jc w:val="center"/>
            </w:pPr>
            <w:r>
              <w:rPr>
                <w:sz w:val="24"/>
              </w:rPr>
              <w:t xml:space="preserve">1</w:t>
            </w:r>
          </w:p>
        </w:tc>
        <w:tc>
          <w:tcPr>
            <w:tcW w:w="1814" w:type="dxa"/>
          </w:tcPr>
          <w:p>
            <w:pPr>
              <w:pStyle w:val="0"/>
              <w:jc w:val="center"/>
            </w:pPr>
            <w:r>
              <w:rPr>
                <w:sz w:val="24"/>
              </w:rPr>
              <w:t xml:space="preserve">3</w:t>
            </w:r>
          </w:p>
        </w:tc>
      </w:tr>
      <w:tr>
        <w:tc>
          <w:tcPr>
            <w:tcW w:w="4195" w:type="dxa"/>
          </w:tcPr>
          <w:p>
            <w:pPr>
              <w:pStyle w:val="0"/>
            </w:pPr>
            <w:r>
              <w:rPr>
                <w:sz w:val="24"/>
              </w:rPr>
              <w:t xml:space="preserve">Слюда-мусковит</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10</w:t>
            </w:r>
          </w:p>
        </w:tc>
        <w:tc>
          <w:tcPr>
            <w:tcW w:w="1814" w:type="dxa"/>
          </w:tcPr>
          <w:p>
            <w:pPr>
              <w:pStyle w:val="0"/>
              <w:jc w:val="center"/>
            </w:pPr>
            <w:r>
              <w:rPr>
                <w:sz w:val="24"/>
              </w:rPr>
              <w:t xml:space="preserve">20</w:t>
            </w:r>
          </w:p>
        </w:tc>
      </w:tr>
      <w:tr>
        <w:tc>
          <w:tcPr>
            <w:tcW w:w="4195" w:type="dxa"/>
          </w:tcPr>
          <w:p>
            <w:pPr>
              <w:pStyle w:val="0"/>
            </w:pPr>
            <w:r>
              <w:rPr>
                <w:sz w:val="24"/>
              </w:rPr>
              <w:t xml:space="preserve">Слюда-флогопит и вермикулит</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w:t>
            </w:r>
          </w:p>
        </w:tc>
        <w:tc>
          <w:tcPr>
            <w:tcW w:w="1814" w:type="dxa"/>
          </w:tcPr>
          <w:p>
            <w:pPr>
              <w:pStyle w:val="0"/>
              <w:jc w:val="center"/>
            </w:pPr>
            <w:r>
              <w:rPr>
                <w:sz w:val="24"/>
              </w:rPr>
              <w:t xml:space="preserve">2</w:t>
            </w:r>
          </w:p>
        </w:tc>
      </w:tr>
      <w:tr>
        <w:tc>
          <w:tcPr>
            <w:tcW w:w="4195" w:type="dxa"/>
          </w:tcPr>
          <w:p>
            <w:pPr>
              <w:pStyle w:val="0"/>
            </w:pPr>
            <w:r>
              <w:rPr>
                <w:sz w:val="24"/>
              </w:rPr>
              <w:t xml:space="preserve">Цеолиты</w:t>
            </w:r>
          </w:p>
        </w:tc>
        <w:tc>
          <w:tcPr>
            <w:tcW w:w="1411" w:type="dxa"/>
          </w:tcPr>
          <w:p>
            <w:pPr>
              <w:pStyle w:val="0"/>
              <w:jc w:val="center"/>
            </w:pPr>
            <w:r>
              <w:rPr>
                <w:sz w:val="24"/>
              </w:rPr>
              <w:t xml:space="preserve">тыс. т</w:t>
            </w:r>
          </w:p>
        </w:tc>
        <w:tc>
          <w:tcPr>
            <w:tcW w:w="1587" w:type="dxa"/>
          </w:tcPr>
          <w:p>
            <w:pPr>
              <w:pStyle w:val="0"/>
              <w:jc w:val="center"/>
            </w:pPr>
            <w:r>
              <w:rPr>
                <w:sz w:val="24"/>
              </w:rPr>
              <w:t xml:space="preserve">100</w:t>
            </w:r>
          </w:p>
        </w:tc>
        <w:tc>
          <w:tcPr>
            <w:tcW w:w="1814" w:type="dxa"/>
          </w:tcPr>
          <w:p>
            <w:pPr>
              <w:pStyle w:val="0"/>
              <w:jc w:val="center"/>
            </w:pPr>
            <w:r>
              <w:rPr>
                <w:sz w:val="24"/>
              </w:rPr>
              <w:t xml:space="preserve">200</w:t>
            </w:r>
          </w:p>
        </w:tc>
      </w:tr>
      <w:tr>
        <w:tc>
          <w:tcPr>
            <w:gridSpan w:val="4"/>
            <w:tcW w:w="9007" w:type="dxa"/>
          </w:tcPr>
          <w:p>
            <w:pPr>
              <w:pStyle w:val="0"/>
              <w:outlineLvl w:val="2"/>
            </w:pPr>
            <w:r>
              <w:rPr>
                <w:sz w:val="24"/>
              </w:rPr>
              <w:t xml:space="preserve">IX. Камнесамоцветное, кварцевое и пьезооптическое сырье</w:t>
            </w:r>
          </w:p>
        </w:tc>
      </w:tr>
      <w:tr>
        <w:tc>
          <w:tcPr>
            <w:tcW w:w="4195" w:type="dxa"/>
          </w:tcPr>
          <w:p>
            <w:pPr>
              <w:pStyle w:val="0"/>
            </w:pPr>
            <w:r>
              <w:rPr>
                <w:sz w:val="24"/>
              </w:rPr>
              <w:t xml:space="preserve">Поделочные камни: змеевик, оникс мраморный, офикальцит, яшма</w:t>
            </w:r>
          </w:p>
        </w:tc>
        <w:tc>
          <w:tcPr>
            <w:tcW w:w="1411" w:type="dxa"/>
          </w:tcPr>
          <w:p>
            <w:pPr>
              <w:pStyle w:val="0"/>
              <w:jc w:val="center"/>
            </w:pPr>
            <w:r>
              <w:rPr>
                <w:sz w:val="24"/>
              </w:rPr>
              <w:t xml:space="preserve">т</w:t>
            </w:r>
          </w:p>
        </w:tc>
        <w:tc>
          <w:tcPr>
            <w:tcW w:w="1587" w:type="dxa"/>
          </w:tcPr>
          <w:p>
            <w:pPr>
              <w:pStyle w:val="0"/>
              <w:jc w:val="center"/>
            </w:pPr>
            <w:r>
              <w:rPr>
                <w:sz w:val="24"/>
              </w:rPr>
              <w:t xml:space="preserve">1000</w:t>
            </w:r>
          </w:p>
        </w:tc>
        <w:tc>
          <w:tcPr>
            <w:tcW w:w="1814" w:type="dxa"/>
          </w:tcPr>
          <w:p>
            <w:pPr>
              <w:pStyle w:val="0"/>
              <w:jc w:val="center"/>
            </w:pPr>
            <w:r>
              <w:rPr>
                <w:sz w:val="24"/>
              </w:rPr>
              <w:t xml:space="preserve">1000</w:t>
            </w:r>
          </w:p>
        </w:tc>
      </w:tr>
      <w:tr>
        <w:tc>
          <w:tcPr>
            <w:gridSpan w:val="4"/>
            <w:tcW w:w="9007" w:type="dxa"/>
          </w:tcPr>
          <w:p>
            <w:pPr>
              <w:pStyle w:val="0"/>
              <w:outlineLvl w:val="2"/>
            </w:pPr>
            <w:r>
              <w:rPr>
                <w:sz w:val="24"/>
              </w:rPr>
              <w:t xml:space="preserve">X. Подземные воды и лечебные минеральные ресурсы</w:t>
            </w:r>
          </w:p>
        </w:tc>
      </w:tr>
      <w:tr>
        <w:tc>
          <w:tcPr>
            <w:tcW w:w="4195" w:type="dxa"/>
          </w:tcPr>
          <w:p>
            <w:pPr>
              <w:pStyle w:val="0"/>
            </w:pPr>
            <w:r>
              <w:rPr>
                <w:sz w:val="24"/>
              </w:rPr>
              <w:t xml:space="preserve">Питьевые и технические подземные воды</w:t>
            </w:r>
          </w:p>
        </w:tc>
        <w:tc>
          <w:tcPr>
            <w:tcW w:w="1411" w:type="dxa"/>
          </w:tcPr>
          <w:p>
            <w:pPr>
              <w:pStyle w:val="0"/>
              <w:jc w:val="center"/>
            </w:pPr>
            <w:r>
              <w:rPr>
                <w:sz w:val="24"/>
              </w:rPr>
              <w:t xml:space="preserve">м</w:t>
            </w:r>
            <w:r>
              <w:rPr>
                <w:sz w:val="24"/>
                <w:vertAlign w:val="superscript"/>
              </w:rPr>
              <w:t xml:space="preserve">3</w:t>
            </w:r>
            <w:r>
              <w:rPr>
                <w:sz w:val="24"/>
              </w:rPr>
              <w:t xml:space="preserve">/сут.</w:t>
            </w:r>
          </w:p>
        </w:tc>
        <w:tc>
          <w:tcPr>
            <w:tcW w:w="1587" w:type="dxa"/>
          </w:tcPr>
          <w:p>
            <w:pPr>
              <w:pStyle w:val="0"/>
              <w:jc w:val="center"/>
            </w:pPr>
            <w:r>
              <w:rPr>
                <w:sz w:val="24"/>
              </w:rPr>
              <w:t xml:space="preserve">100 000</w:t>
            </w:r>
          </w:p>
        </w:tc>
        <w:tc>
          <w:tcPr>
            <w:tcW w:w="1814" w:type="dxa"/>
          </w:tcPr>
          <w:p>
            <w:pPr>
              <w:pStyle w:val="0"/>
              <w:jc w:val="center"/>
            </w:pPr>
            <w:r>
              <w:rPr>
                <w:sz w:val="24"/>
              </w:rPr>
              <w:t xml:space="preserve">100 000</w:t>
            </w:r>
          </w:p>
        </w:tc>
      </w:tr>
      <w:tr>
        <w:tc>
          <w:tcPr>
            <w:tcW w:w="4195" w:type="dxa"/>
          </w:tcPr>
          <w:p>
            <w:pPr>
              <w:pStyle w:val="0"/>
            </w:pPr>
            <w:r>
              <w:rPr>
                <w:sz w:val="24"/>
              </w:rPr>
              <w:t xml:space="preserve">Подземная минеральная вода</w:t>
            </w:r>
          </w:p>
        </w:tc>
        <w:tc>
          <w:tcPr>
            <w:gridSpan w:val="3"/>
            <w:tcW w:w="4812" w:type="dxa"/>
          </w:tcPr>
          <w:p>
            <w:pPr>
              <w:pStyle w:val="0"/>
            </w:pPr>
            <w:r>
              <w:rPr>
                <w:sz w:val="24"/>
              </w:rPr>
              <w:t xml:space="preserve">без ограничений (за исключением случая, указанного в </w:t>
            </w:r>
            <w:hyperlink w:history="0" w:anchor="P64" w:tooltip="7) участков недр, предоставленных в пользование для геологического изучения и (или) разведки и добычи минеральных подземных вод на территории курортов федерального значения;">
              <w:r>
                <w:rPr>
                  <w:sz w:val="24"/>
                  <w:color w:val="0000ff"/>
                </w:rPr>
                <w:t xml:space="preserve">подпункте 7 пункта 6</w:t>
              </w:r>
            </w:hyperlink>
            <w:r>
              <w:rPr>
                <w:sz w:val="24"/>
              </w:rPr>
              <w:t xml:space="preserve"> настоящего Порядка)</w:t>
            </w:r>
          </w:p>
        </w:tc>
      </w:tr>
      <w:tr>
        <w:tc>
          <w:tcPr>
            <w:tcW w:w="4195" w:type="dxa"/>
          </w:tcPr>
          <w:p>
            <w:pPr>
              <w:pStyle w:val="0"/>
            </w:pPr>
            <w:r>
              <w:rPr>
                <w:sz w:val="24"/>
              </w:rPr>
              <w:t xml:space="preserve">Лечебная грязь и другие минеральные ресурсы, отнесенные к категории лечебных</w:t>
            </w:r>
          </w:p>
        </w:tc>
        <w:tc>
          <w:tcPr>
            <w:gridSpan w:val="3"/>
            <w:tcW w:w="4812" w:type="dxa"/>
          </w:tcPr>
          <w:p>
            <w:pPr>
              <w:pStyle w:val="0"/>
            </w:pPr>
            <w:r>
              <w:rPr>
                <w:sz w:val="24"/>
              </w:rPr>
              <w:t xml:space="preserve">без ограничений</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N 752, Роснедр N 11 от 14.10.2021</w:t>
            <w:br/>
            <w:t>"Об утверждении Порядка внесения изменений в лицензии на поль...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0138&amp;date=17.10.2025&amp;dst=540&amp;field=134" TargetMode = "External"/><Relationship Id="rId9" Type="http://schemas.openxmlformats.org/officeDocument/2006/relationships/hyperlink" Target="https://login.consultant.ru/link/?req=doc&amp;base=LAW&amp;n=500820&amp;date=17.10.2025&amp;dst=108&amp;field=134" TargetMode = "External"/><Relationship Id="rId10" Type="http://schemas.openxmlformats.org/officeDocument/2006/relationships/hyperlink" Target="https://login.consultant.ru/link/?req=doc&amp;base=LAW&amp;n=393844&amp;date=17.10.2025&amp;dst=100012&amp;field=134" TargetMode = "External"/><Relationship Id="rId11" Type="http://schemas.openxmlformats.org/officeDocument/2006/relationships/hyperlink" Target="https://login.consultant.ru/link/?req=doc&amp;base=LAW&amp;n=500138&amp;date=17.10.2025&amp;dst=540&amp;field=134" TargetMode = "External"/><Relationship Id="rId12" Type="http://schemas.openxmlformats.org/officeDocument/2006/relationships/hyperlink" Target="https://login.consultant.ru/link/?req=doc&amp;base=LAW&amp;n=500138&amp;date=17.10.2025&amp;dst=528&amp;field=134" TargetMode = "External"/><Relationship Id="rId13" Type="http://schemas.openxmlformats.org/officeDocument/2006/relationships/hyperlink" Target="https://login.consultant.ru/link/?req=doc&amp;base=LAW&amp;n=500138&amp;date=17.10.2025&amp;dst=530&amp;field=134" TargetMode = "External"/><Relationship Id="rId14" Type="http://schemas.openxmlformats.org/officeDocument/2006/relationships/hyperlink" Target="https://login.consultant.ru/link/?req=doc&amp;base=LAW&amp;n=500138&amp;date=17.10.2025&amp;dst=453&amp;field=134" TargetMode = "External"/><Relationship Id="rId15" Type="http://schemas.openxmlformats.org/officeDocument/2006/relationships/hyperlink" Target="https://login.consultant.ru/link/?req=doc&amp;base=LAW&amp;n=500138&amp;date=17.10.2025&amp;dst=455&amp;field=134" TargetMode = "External"/><Relationship Id="rId16" Type="http://schemas.openxmlformats.org/officeDocument/2006/relationships/hyperlink" Target="https://login.consultant.ru/link/?req=doc&amp;base=LAW&amp;n=500138&amp;date=17.10.2025&amp;dst=479&amp;field=134" TargetMode = "External"/><Relationship Id="rId17" Type="http://schemas.openxmlformats.org/officeDocument/2006/relationships/hyperlink" Target="https://login.consultant.ru/link/?req=doc&amp;base=LAW&amp;n=500138&amp;date=17.10.2025&amp;dst=481&amp;field=134" TargetMode = "External"/><Relationship Id="rId18" Type="http://schemas.openxmlformats.org/officeDocument/2006/relationships/hyperlink" Target="https://login.consultant.ru/link/?req=doc&amp;base=LAW&amp;n=500138&amp;date=17.10.2025&amp;dst=518&amp;field=134" TargetMode = "External"/><Relationship Id="rId19" Type="http://schemas.openxmlformats.org/officeDocument/2006/relationships/hyperlink" Target="https://login.consultant.ru/link/?req=doc&amp;base=LAW&amp;n=500138&amp;date=17.10.2025&amp;dst=389&amp;field=134" TargetMode = "External"/><Relationship Id="rId20" Type="http://schemas.openxmlformats.org/officeDocument/2006/relationships/hyperlink" Target="https://login.consultant.ru/link/?req=doc&amp;base=LAW&amp;n=500138&amp;date=17.10.2025" TargetMode = "External"/><Relationship Id="rId21" Type="http://schemas.openxmlformats.org/officeDocument/2006/relationships/hyperlink" Target="https://login.consultant.ru/link/?req=doc&amp;base=LAW&amp;n=500138&amp;date=17.10.2025&amp;dst=229&amp;field=134" TargetMode = "External"/><Relationship Id="rId22" Type="http://schemas.openxmlformats.org/officeDocument/2006/relationships/hyperlink" Target="https://login.consultant.ru/link/?req=doc&amp;base=LAW&amp;n=500138&amp;date=17.10.2025&amp;dst=165&amp;field=134" TargetMode = "External"/><Relationship Id="rId23" Type="http://schemas.openxmlformats.org/officeDocument/2006/relationships/hyperlink" Target="https://login.consultant.ru/link/?req=doc&amp;base=LAW&amp;n=510752&amp;date=17.10.2025&amp;dst=18710&amp;field=134" TargetMode = "External"/><Relationship Id="rId24" Type="http://schemas.openxmlformats.org/officeDocument/2006/relationships/hyperlink" Target="https://login.consultant.ru/link/?req=doc&amp;base=LAW&amp;n=500138&amp;date=17.10.2025&amp;dst=100386&amp;field=134" TargetMode = "External"/><Relationship Id="rId25" Type="http://schemas.openxmlformats.org/officeDocument/2006/relationships/hyperlink" Target="https://login.consultant.ru/link/?req=doc&amp;base=LAW&amp;n=500138&amp;date=17.10.2025&amp;dst=234&amp;field=134" TargetMode = "External"/><Relationship Id="rId26" Type="http://schemas.openxmlformats.org/officeDocument/2006/relationships/hyperlink" Target="https://login.consultant.ru/link/?req=doc&amp;base=LAW&amp;n=500138&amp;date=17.10.2025&amp;dst=100303&amp;field=134" TargetMode = "External"/><Relationship Id="rId27" Type="http://schemas.openxmlformats.org/officeDocument/2006/relationships/hyperlink" Target="https://login.consultant.ru/link/?req=doc&amp;base=LAW&amp;n=500138&amp;date=17.10.2025&amp;dst=239&amp;field=134" TargetMode = "External"/><Relationship Id="rId28" Type="http://schemas.openxmlformats.org/officeDocument/2006/relationships/hyperlink" Target="https://login.consultant.ru/link/?req=doc&amp;base=LAW&amp;n=222744&amp;date=17.10.2025" TargetMode = "External"/><Relationship Id="rId29" Type="http://schemas.openxmlformats.org/officeDocument/2006/relationships/hyperlink" Target="https://login.consultant.ru/link/?req=doc&amp;base=LAW&amp;n=500138&amp;date=17.10.2025&amp;dst=373&amp;field=134" TargetMode = "External"/><Relationship Id="rId30" Type="http://schemas.openxmlformats.org/officeDocument/2006/relationships/hyperlink" Target="https://login.consultant.ru/link/?req=doc&amp;base=LAW&amp;n=503689&amp;date=17.10.2025" TargetMode = "External"/><Relationship Id="rId31" Type="http://schemas.openxmlformats.org/officeDocument/2006/relationships/hyperlink" Target="https://login.consultant.ru/link/?req=doc&amp;base=LAW&amp;n=503689&amp;date=17.10.2025" TargetMode = "External"/><Relationship Id="rId32" Type="http://schemas.openxmlformats.org/officeDocument/2006/relationships/hyperlink" Target="https://login.consultant.ru/link/?req=doc&amp;base=LAW&amp;n=499934&amp;date=17.10.2025" TargetMode = "External"/><Relationship Id="rId33" Type="http://schemas.openxmlformats.org/officeDocument/2006/relationships/hyperlink" Target="https://login.consultant.ru/link/?req=doc&amp;base=LAW&amp;n=500138&amp;date=17.10.2025&amp;dst=165&amp;field=134" TargetMode = "External"/><Relationship Id="rId34" Type="http://schemas.openxmlformats.org/officeDocument/2006/relationships/hyperlink" Target="https://login.consultant.ru/link/?req=doc&amp;base=LAW&amp;n=448535&amp;date=17.10.2025&amp;dst=100010&amp;field=134" TargetMode = "External"/><Relationship Id="rId35" Type="http://schemas.openxmlformats.org/officeDocument/2006/relationships/hyperlink" Target="https://login.consultant.ru/link/?req=doc&amp;base=LAW&amp;n=371401&amp;date=17.10.2025" TargetMode = "External"/><Relationship Id="rId36" Type="http://schemas.openxmlformats.org/officeDocument/2006/relationships/hyperlink" Target="https://login.consultant.ru/link/?req=doc&amp;base=LAW&amp;n=500138&amp;date=17.10.2025" TargetMode = "External"/><Relationship Id="rId37" Type="http://schemas.openxmlformats.org/officeDocument/2006/relationships/hyperlink" Target="https://login.consultant.ru/link/?req=doc&amp;base=LAW&amp;n=500138&amp;date=17.10.2025" TargetMode = "External"/><Relationship Id="rId38" Type="http://schemas.openxmlformats.org/officeDocument/2006/relationships/hyperlink" Target="https://login.consultant.ru/link/?req=doc&amp;base=LAW&amp;n=500138&amp;date=17.10.2025" TargetMode = "External"/><Relationship Id="rId39" Type="http://schemas.openxmlformats.org/officeDocument/2006/relationships/hyperlink" Target="https://login.consultant.ru/link/?req=doc&amp;base=LAW&amp;n=500138&amp;date=17.10.2025&amp;dst=165&amp;field=134" TargetMode = "External"/><Relationship Id="rId40" Type="http://schemas.openxmlformats.org/officeDocument/2006/relationships/hyperlink" Target="https://login.consultant.ru/link/?req=doc&amp;base=LAW&amp;n=508490&amp;date=17.10.2025&amp;dst=101922&amp;field=134" TargetMode = "External"/><Relationship Id="rId41" Type="http://schemas.openxmlformats.org/officeDocument/2006/relationships/hyperlink" Target="https://login.consultant.ru/link/?req=doc&amp;base=LAW&amp;n=500138&amp;date=17.10.2025&amp;dst=513&amp;field=134" TargetMode = "External"/><Relationship Id="rId42" Type="http://schemas.openxmlformats.org/officeDocument/2006/relationships/hyperlink" Target="https://login.consultant.ru/link/?req=doc&amp;base=LAW&amp;n=500138&amp;date=17.10.2025&amp;dst=100279&amp;field=134" TargetMode = "External"/><Relationship Id="rId43" Type="http://schemas.openxmlformats.org/officeDocument/2006/relationships/hyperlink" Target="https://login.consultant.ru/link/?req=doc&amp;base=LAW&amp;n=500138&amp;date=17.10.2025&amp;dst=234&amp;field=134" TargetMode = "External"/><Relationship Id="rId44" Type="http://schemas.openxmlformats.org/officeDocument/2006/relationships/hyperlink" Target="https://login.consultant.ru/link/?req=doc&amp;base=LAW&amp;n=500138&amp;date=17.10.2025&amp;dst=100386&amp;field=134" TargetMode = "External"/><Relationship Id="rId45" Type="http://schemas.openxmlformats.org/officeDocument/2006/relationships/hyperlink" Target="https://login.consultant.ru/link/?req=doc&amp;base=LAW&amp;n=500138&amp;date=17.10.2025&amp;dst=373&amp;field=134" TargetMode = "External"/><Relationship Id="rId46" Type="http://schemas.openxmlformats.org/officeDocument/2006/relationships/hyperlink" Target="https://login.consultant.ru/link/?req=doc&amp;base=LAW&amp;n=500138&amp;date=17.10.2025&amp;dst=513&amp;field=134" TargetMode = "External"/><Relationship Id="rId47" Type="http://schemas.openxmlformats.org/officeDocument/2006/relationships/hyperlink" Target="https://login.consultant.ru/link/?req=doc&amp;base=LAW&amp;n=500138&amp;date=17.10.2025&amp;dst=234&amp;field=134" TargetMode = "External"/><Relationship Id="rId48" Type="http://schemas.openxmlformats.org/officeDocument/2006/relationships/hyperlink" Target="https://login.consultant.ru/link/?req=doc&amp;base=LAW&amp;n=500138&amp;date=17.10.2025&amp;dst=100386&amp;field=134" TargetMode = "External"/><Relationship Id="rId49" Type="http://schemas.openxmlformats.org/officeDocument/2006/relationships/hyperlink" Target="https://login.consultant.ru/link/?req=doc&amp;base=LAW&amp;n=500138&amp;date=17.10.2025&amp;dst=373&amp;field=134" TargetMode = "External"/><Relationship Id="rId50" Type="http://schemas.openxmlformats.org/officeDocument/2006/relationships/hyperlink" Target="https://login.consultant.ru/link/?req=doc&amp;base=LAW&amp;n=503689&amp;date=17.10.2025" TargetMode = "External"/><Relationship Id="rId51" Type="http://schemas.openxmlformats.org/officeDocument/2006/relationships/hyperlink" Target="https://login.consultant.ru/link/?req=doc&amp;base=LAW&amp;n=500138&amp;date=17.10.2025&amp;dst=234&amp;field=134" TargetMode = "External"/><Relationship Id="rId52" Type="http://schemas.openxmlformats.org/officeDocument/2006/relationships/hyperlink" Target="https://login.consultant.ru/link/?req=doc&amp;base=LAW&amp;n=500138&amp;date=17.10.2025&amp;dst=100386&amp;field=134" TargetMode = "External"/><Relationship Id="rId53" Type="http://schemas.openxmlformats.org/officeDocument/2006/relationships/hyperlink" Target="https://login.consultant.ru/link/?req=doc&amp;base=LAW&amp;n=503689&amp;date=17.10.2025" TargetMode = "External"/><Relationship Id="rId54" Type="http://schemas.openxmlformats.org/officeDocument/2006/relationships/hyperlink" Target="https://login.consultant.ru/link/?req=doc&amp;base=LAW&amp;n=503689&amp;date=17.10.2025" TargetMode = "External"/><Relationship Id="rId55" Type="http://schemas.openxmlformats.org/officeDocument/2006/relationships/hyperlink" Target="https://login.consultant.ru/link/?req=doc&amp;base=LAW&amp;n=500138&amp;date=17.10.2025&amp;dst=513&amp;field=134" TargetMode = "External"/><Relationship Id="rId56" Type="http://schemas.openxmlformats.org/officeDocument/2006/relationships/hyperlink" Target="https://login.consultant.ru/link/?req=doc&amp;base=LAW&amp;n=500138&amp;date=17.10.2025&amp;dst=10034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752, Роснедр N 11 от 14.10.2021
"Об утверждении Порядка внесения изменений в лицензии на пользование недрами"
(Зарегистрировано в Минюсте России 13.12.2021 N 66306)</dc:title>
  <dcterms:created xsi:type="dcterms:W3CDTF">2025-10-17T08:29:42Z</dcterms:created>
</cp:coreProperties>
</file>