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N 751, Роснедр N 10 от 14.10.2021</w:t>
              <w:br/>
              <w:t xml:space="preserve">(ред. от 17.01.2025)</w:t>
              <w:br/>
              <w:t xml:space="preserve">"Об утверждении Порядка переоформления лицензий на пользование недрами"</w:t>
              <w:br/>
              <w:t xml:space="preserve">(Зарегистрировано в Минюсте России 10.12.2021 N 66280)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декабря 2021 г. N 66280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751</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10</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ПЕРЕОФОРМЛЕНИЯ ЛИЦЕНЗИЙ НА ПОЛЬЗОВАНИЕ НЕДРАМИ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color w:val="392c69"/>
              </w:rPr>
              <w:t xml:space="preserve"> Минприроды России N 255, Роснедр N 06 от 02.05.2024,</w:t>
            </w:r>
          </w:p>
          <w:p>
            <w:pPr>
              <w:pStyle w:val="0"/>
              <w:jc w:val="center"/>
            </w:pPr>
            <w:r>
              <w:rPr>
                <w:sz w:val="24"/>
                <w:color w:val="392c69"/>
              </w:rPr>
              <w:t xml:space="preserve">с изм., внесенными Приказами Минприроды России, Роснедр от 28.04.2022 </w:t>
            </w:r>
            <w:hyperlink w:history="0" r:id="rId9"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0"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1"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2"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3" w:tooltip="Закон РФ от 21.02.1992 N 2395-1 (ред. от 31.07.2025) &quot;О недрах&quot; {КонсультантПлюс}">
        <w:r>
          <w:rPr>
            <w:sz w:val="24"/>
            <w:color w:val="0000ff"/>
          </w:rPr>
          <w:t xml:space="preserve">частью семнадцатой статьи 12.1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4"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5.2.8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5"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45" w:tooltip="ПОРЯДОК ПЕРЕОФОРМЛЕНИЯ ЛИЦЕНЗИЙ НА ПОЛЬЗОВАНИЕ НЕДРАМИ">
        <w:r>
          <w:rPr>
            <w:sz w:val="24"/>
            <w:color w:val="0000ff"/>
          </w:rPr>
          <w:t xml:space="preserve">Порядок</w:t>
        </w:r>
      </w:hyperlink>
      <w:r>
        <w:rPr>
          <w:sz w:val="24"/>
        </w:rPr>
        <w:t xml:space="preserve"> переоформления лицензий на пользование недрами.</w:t>
      </w:r>
    </w:p>
    <w:p>
      <w:pPr>
        <w:pStyle w:val="0"/>
        <w:spacing w:before="240" w:lineRule="auto"/>
        <w:ind w:firstLine="540"/>
        <w:jc w:val="both"/>
      </w:pPr>
      <w:r>
        <w:rPr>
          <w:sz w:val="24"/>
        </w:rPr>
        <w:t xml:space="preserve">2. Настоящий приказ вступает в силу с 1 января 2022 г. и действует по 31 декабря 2027 г.</w:t>
      </w:r>
    </w:p>
    <w:p>
      <w:pPr>
        <w:pStyle w:val="0"/>
        <w:jc w:val="both"/>
      </w:pPr>
      <w:r>
        <w:rPr>
          <w:sz w:val="24"/>
        </w:rPr>
        <w:t xml:space="preserve">(в ред. </w:t>
      </w:r>
      <w:hyperlink w:history="0" r:id="rId16"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w:t>
      </w:r>
    </w:p>
    <w:p>
      <w:pPr>
        <w:pStyle w:val="0"/>
        <w:jc w:val="right"/>
      </w:pPr>
      <w:r>
        <w:rPr>
          <w:sz w:val="24"/>
        </w:rPr>
        <w:t xml:space="preserve">агентства 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Минприроды России и Роснедр</w:t>
      </w:r>
    </w:p>
    <w:p>
      <w:pPr>
        <w:pStyle w:val="0"/>
        <w:jc w:val="right"/>
      </w:pPr>
      <w:r>
        <w:rPr>
          <w:sz w:val="24"/>
        </w:rPr>
        <w:t xml:space="preserve">от 14 октября 2021 г. N 751/10</w:t>
      </w:r>
    </w:p>
    <w:p>
      <w:pPr>
        <w:pStyle w:val="0"/>
        <w:jc w:val="both"/>
      </w:pPr>
      <w:r>
        <w:rPr>
          <w:sz w:val="24"/>
        </w:rPr>
      </w:r>
    </w:p>
    <w:bookmarkStart w:id="45" w:name="P45"/>
    <w:bookmarkEnd w:id="45"/>
    <w:p>
      <w:pPr>
        <w:pStyle w:val="2"/>
        <w:jc w:val="center"/>
      </w:pPr>
      <w:r>
        <w:rPr>
          <w:sz w:val="24"/>
        </w:rPr>
        <w:t xml:space="preserve">ПОРЯДОК ПЕРЕОФОРМЛЕНИЯ ЛИЦЕНЗИЙ НА ПОЛЬЗОВАНИЕ НЕДРАМИ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color w:val="392c69"/>
              </w:rPr>
              <w:t xml:space="preserve"> Минприроды России N 255, Роснедр N 06 от 02.05.2024,</w:t>
            </w:r>
          </w:p>
          <w:p>
            <w:pPr>
              <w:pStyle w:val="0"/>
              <w:jc w:val="center"/>
            </w:pPr>
            <w:r>
              <w:rPr>
                <w:sz w:val="24"/>
                <w:color w:val="392c69"/>
              </w:rPr>
              <w:t xml:space="preserve">с изм., внесенными Приказами Минприроды России, Роснедр от 28.04.2022 </w:t>
            </w:r>
            <w:hyperlink w:history="0" r:id="rId18"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9"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20"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21"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регламентирует процедуру переоформления лицензий на пользование недрами, в том числе рассмотрения заявок о переоформлении лицензий на пользование недрами.</w:t>
      </w:r>
    </w:p>
    <w:p>
      <w:pPr>
        <w:pStyle w:val="0"/>
        <w:spacing w:before="240" w:lineRule="auto"/>
        <w:ind w:firstLine="540"/>
        <w:jc w:val="both"/>
      </w:pPr>
      <w:r>
        <w:rPr>
          <w:sz w:val="24"/>
        </w:rPr>
        <w:t xml:space="preserve">Действие настоящего Порядка не распространяется на переоформление лицензий на пользование недрами в отношении участков недр местного значения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2" w:tooltip="Закон РФ от 21.02.1992 N 2395-1 (ред. от 31.07.2025) &quot;О недрах&quot; {КонсультантПлюс}">
        <w:r>
          <w:rPr>
            <w:sz w:val="24"/>
            <w:color w:val="0000ff"/>
          </w:rPr>
          <w:t xml:space="preserve">Часть семнадцатая статьи 12.1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jc w:val="both"/>
      </w:pPr>
      <w:r>
        <w:rPr>
          <w:sz w:val="24"/>
        </w:rPr>
      </w:r>
    </w:p>
    <w:p>
      <w:pPr>
        <w:pStyle w:val="0"/>
        <w:ind w:firstLine="540"/>
        <w:jc w:val="both"/>
      </w:pPr>
      <w:r>
        <w:rPr>
          <w:sz w:val="24"/>
        </w:rPr>
        <w:t xml:space="preserve">Заявки на переоформление лицензий на пользование недрами (далее - заявка), представленные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bookmarkStart w:id="59" w:name="P59"/>
    <w:bookmarkEnd w:id="59"/>
    <w:p>
      <w:pPr>
        <w:pStyle w:val="0"/>
        <w:spacing w:before="240" w:lineRule="auto"/>
        <w:ind w:firstLine="540"/>
        <w:jc w:val="both"/>
      </w:pPr>
      <w:r>
        <w:rPr>
          <w:sz w:val="24"/>
        </w:rPr>
        <w:t xml:space="preserve">2. В соответствии с </w:t>
      </w:r>
      <w:hyperlink w:history="0" r:id="rId23" w:tooltip="Закон РФ от 21.02.1992 N 2395-1 (ред. от 31.07.2025) &quot;О недрах&quot; {КонсультантПлюс}">
        <w:r>
          <w:rPr>
            <w:sz w:val="24"/>
            <w:color w:val="0000ff"/>
          </w:rPr>
          <w:t xml:space="preserve">частью тринадцатой статьи 12.1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переоформление лицензий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"Росгеолэкспертиза" (далее - ФГКУ "Росгеолэкспертиза").</w:t>
      </w:r>
    </w:p>
    <w:p>
      <w:pPr>
        <w:pStyle w:val="0"/>
        <w:spacing w:before="240" w:lineRule="auto"/>
        <w:ind w:firstLine="540"/>
        <w:jc w:val="both"/>
      </w:pPr>
      <w:r>
        <w:rPr>
          <w:sz w:val="24"/>
        </w:rPr>
        <w:t xml:space="preserve">3. В соответствии с </w:t>
      </w:r>
      <w:hyperlink w:history="0" r:id="rId24" w:tooltip="Закон РФ от 21.02.1992 N 2395-1 (ред. от 31.07.2025) &quot;О недрах&quot; {КонсультантПлюс}">
        <w:r>
          <w:rPr>
            <w:sz w:val="24"/>
            <w:color w:val="0000ff"/>
          </w:rPr>
          <w:t xml:space="preserve">частью четырнадцатой статьи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принятие решения о переоформлении лицензии на пользование недрами осуществляется комиссией, создаваемой Федеральным агентством по недропользованию или его территориальным органом (далее - Комиссия).</w:t>
      </w:r>
    </w:p>
    <w:p>
      <w:pPr>
        <w:pStyle w:val="0"/>
        <w:spacing w:before="240" w:lineRule="auto"/>
        <w:ind w:firstLine="540"/>
        <w:jc w:val="both"/>
      </w:pPr>
      <w:r>
        <w:rPr>
          <w:sz w:val="24"/>
        </w:rPr>
        <w:t xml:space="preserve">4.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и его подведомственных учреждений.</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а также представители Федерального агентства по недропользованию (по представлению Федерального агентства по недропользованию).</w:t>
      </w:r>
    </w:p>
    <w:bookmarkStart w:id="64" w:name="P64"/>
    <w:bookmarkEnd w:id="64"/>
    <w:p>
      <w:pPr>
        <w:pStyle w:val="0"/>
        <w:spacing w:before="240" w:lineRule="auto"/>
        <w:ind w:firstLine="540"/>
        <w:jc w:val="both"/>
      </w:pPr>
      <w:r>
        <w:rPr>
          <w:sz w:val="24"/>
        </w:rPr>
        <w:t xml:space="preserve">5. Заседания Комиссии проводятся очно и (или) посредством использования видеоконференц-связи.</w:t>
      </w:r>
    </w:p>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ФГКУ "Росгеолэкспертиза".</w:t>
      </w:r>
    </w:p>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и (или) уполномоченных работников ФГКУ "Росгеолэкспертиза".</w:t>
      </w:r>
    </w:p>
    <w:p>
      <w:pPr>
        <w:pStyle w:val="0"/>
        <w:spacing w:before="240" w:lineRule="auto"/>
        <w:ind w:firstLine="540"/>
        <w:jc w:val="both"/>
      </w:pPr>
      <w:r>
        <w:rPr>
          <w:sz w:val="24"/>
        </w:rPr>
        <w:t xml:space="preserve">6. Принятие решений о переоформлении лицензий на пользование недрами осуществляется Комиссией, создаваемой Федеральным агентством по недропользованию, в отношении:</w:t>
      </w:r>
    </w:p>
    <w:bookmarkStart w:id="68" w:name="P68"/>
    <w:bookmarkEnd w:id="68"/>
    <w:p>
      <w:pPr>
        <w:pStyle w:val="0"/>
        <w:spacing w:before="240" w:lineRule="auto"/>
        <w:ind w:firstLine="540"/>
        <w:jc w:val="both"/>
      </w:pPr>
      <w:r>
        <w:rPr>
          <w:sz w:val="24"/>
        </w:rPr>
        <w:t xml:space="preserve">1) участков недр, содержащих полезные ископаемые в количестве, превышающем предельные объемы запасов и прогнозных ресурсов полезных ископаемых, залегающих на участке недр, указанные в </w:t>
      </w:r>
      <w:hyperlink w:history="0" w:anchor="P304"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2) участков недр, содержащих полезные ископаемые, не указанные в </w:t>
      </w:r>
      <w:hyperlink w:history="0" w:anchor="P304"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3) участков недр федерального значения;</w:t>
      </w:r>
    </w:p>
    <w:p>
      <w:pPr>
        <w:pStyle w:val="0"/>
        <w:spacing w:before="240" w:lineRule="auto"/>
        <w:ind w:firstLine="540"/>
        <w:jc w:val="both"/>
      </w:pPr>
      <w:r>
        <w:rPr>
          <w:sz w:val="24"/>
        </w:rPr>
        <w:t xml:space="preserve">4) участков недр, расположенных в пределах исключительной экономической зоны Российской Федерации, Черного и Азовского морей,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а также в пределах российского сектора Каспийского моря;</w:t>
      </w:r>
    </w:p>
    <w:p>
      <w:pPr>
        <w:pStyle w:val="0"/>
        <w:spacing w:before="240" w:lineRule="auto"/>
        <w:ind w:firstLine="540"/>
        <w:jc w:val="both"/>
      </w:pPr>
      <w:r>
        <w:rPr>
          <w:sz w:val="24"/>
        </w:rPr>
        <w:t xml:space="preserve">5) участков недр, предоставленных в пользование в соответствии с </w:t>
      </w:r>
      <w:hyperlink w:history="0" r:id="rId25" w:tooltip="Закон РФ от 21.02.1992 N 2395-1 (ред. от 31.07.2025) &quot;О недрах&quot; {КонсультантПлюс}">
        <w:r>
          <w:rPr>
            <w:sz w:val="24"/>
            <w:color w:val="0000ff"/>
          </w:rPr>
          <w:t xml:space="preserve">абзацем шестым пункта 1</w:t>
        </w:r>
      </w:hyperlink>
      <w:r>
        <w:rPr>
          <w:sz w:val="24"/>
        </w:rPr>
        <w:t xml:space="preserve">, а также </w:t>
      </w:r>
      <w:hyperlink w:history="0" r:id="rId26" w:tooltip="Закон РФ от 21.02.1992 N 2395-1 (ред. от 31.07.2025) &quot;О недрах&quot; {КонсультантПлюс}">
        <w:r>
          <w:rPr>
            <w:sz w:val="24"/>
            <w:color w:val="0000ff"/>
          </w:rPr>
          <w:t xml:space="preserve">пунктами 3</w:t>
        </w:r>
      </w:hyperlink>
      <w:r>
        <w:rPr>
          <w:sz w:val="24"/>
        </w:rPr>
        <w:t xml:space="preserve">, </w:t>
      </w:r>
      <w:hyperlink w:history="0" r:id="rId27" w:tooltip="Закон РФ от 21.02.1992 N 2395-1 (ред. от 31.07.2025) &quot;О недрах&quot; {КонсультантПлюс}">
        <w:r>
          <w:rPr>
            <w:sz w:val="24"/>
            <w:color w:val="0000ff"/>
          </w:rPr>
          <w:t xml:space="preserve">9</w:t>
        </w:r>
      </w:hyperlink>
      <w:r>
        <w:rPr>
          <w:sz w:val="24"/>
        </w:rPr>
        <w:t xml:space="preserve">, </w:t>
      </w:r>
      <w:hyperlink w:history="0" r:id="rId28" w:tooltip="Закон РФ от 21.02.1992 N 2395-1 (ред. от 31.07.2025) &quot;О недрах&quot; {КонсультантПлюс}">
        <w:r>
          <w:rPr>
            <w:sz w:val="24"/>
            <w:color w:val="0000ff"/>
          </w:rPr>
          <w:t xml:space="preserve">11 части первой статьи 10.1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6) участков недр, расположенных на территории более двух субъектов Российской Федерации;</w:t>
      </w:r>
    </w:p>
    <w:bookmarkStart w:id="74" w:name="P74"/>
    <w:bookmarkEnd w:id="74"/>
    <w:p>
      <w:pPr>
        <w:pStyle w:val="0"/>
        <w:spacing w:before="240" w:lineRule="auto"/>
        <w:ind w:firstLine="540"/>
        <w:jc w:val="both"/>
      </w:pPr>
      <w:r>
        <w:rPr>
          <w:sz w:val="24"/>
        </w:rPr>
        <w:t xml:space="preserve">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w:t>
      </w:r>
    </w:p>
    <w:p>
      <w:pPr>
        <w:pStyle w:val="0"/>
        <w:spacing w:before="240" w:lineRule="auto"/>
        <w:ind w:firstLine="540"/>
        <w:jc w:val="both"/>
      </w:pPr>
      <w:r>
        <w:rPr>
          <w:sz w:val="24"/>
        </w:rPr>
        <w:t xml:space="preserve">8) участков недр, предоставленных в пользование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указанных хранилищ углеводородного сырья, их строительства и эксплуатации;</w:t>
      </w:r>
    </w:p>
    <w:p>
      <w:pPr>
        <w:pStyle w:val="0"/>
        <w:spacing w:before="240" w:lineRule="auto"/>
        <w:ind w:firstLine="540"/>
        <w:jc w:val="both"/>
      </w:pPr>
      <w:r>
        <w:rPr>
          <w:sz w:val="24"/>
        </w:rPr>
        <w:t xml:space="preserve">9) участков недр, предоставленных в пользование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недр для строительства и эксплуатации указанных подземных сооружений, их строительства и эксплуатации;</w:t>
      </w:r>
    </w:p>
    <w:p>
      <w:pPr>
        <w:pStyle w:val="0"/>
        <w:spacing w:before="240" w:lineRule="auto"/>
        <w:ind w:firstLine="540"/>
        <w:jc w:val="both"/>
      </w:pPr>
      <w:r>
        <w:rPr>
          <w:sz w:val="24"/>
        </w:rPr>
        <w:t xml:space="preserve">10) участков недр, предоставленных в пользование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bookmarkStart w:id="78" w:name="P78"/>
    <w:bookmarkEnd w:id="78"/>
    <w:p>
      <w:pPr>
        <w:pStyle w:val="0"/>
        <w:spacing w:before="240" w:lineRule="auto"/>
        <w:ind w:firstLine="540"/>
        <w:jc w:val="both"/>
      </w:pPr>
      <w:r>
        <w:rPr>
          <w:sz w:val="24"/>
        </w:rPr>
        <w:t xml:space="preserve">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пластах горных пород.</w:t>
      </w:r>
    </w:p>
    <w:p>
      <w:pPr>
        <w:pStyle w:val="0"/>
        <w:spacing w:before="240" w:lineRule="auto"/>
        <w:ind w:firstLine="540"/>
        <w:jc w:val="both"/>
      </w:pPr>
      <w:r>
        <w:rPr>
          <w:sz w:val="24"/>
        </w:rPr>
        <w:t xml:space="preserve">Принятие решений о переоформлении лицензий на пользование недрами осуществляется Комиссией, создаваемой территориальным органом Федерального агентства по недропользованию, в отношении участков недр, не указанных в </w:t>
      </w:r>
      <w:hyperlink w:history="0" w:anchor="P68" w:tooltip="1) участков недр, содержащих полезные ископаемые в количестве, превышающем предельные объемы запасов и прогнозных ресурсов полезных ископаемых, залегающих на участке недр, указанные в приложении к настоящему Порядку;">
        <w:r>
          <w:rPr>
            <w:sz w:val="24"/>
            <w:color w:val="0000ff"/>
          </w:rPr>
          <w:t xml:space="preserve">подпунктах 1</w:t>
        </w:r>
      </w:hyperlink>
      <w:r>
        <w:rPr>
          <w:sz w:val="24"/>
        </w:rPr>
        <w:t xml:space="preserve"> - </w:t>
      </w:r>
      <w:hyperlink w:history="0" w:anchor="P78" w:tooltip="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
        <w:r>
          <w:rPr>
            <w:sz w:val="24"/>
            <w:color w:val="0000ff"/>
          </w:rPr>
          <w:t xml:space="preserve">11</w:t>
        </w:r>
      </w:hyperlink>
      <w:r>
        <w:rPr>
          <w:sz w:val="24"/>
        </w:rPr>
        <w:t xml:space="preserve"> настоящего пункта.</w:t>
      </w:r>
    </w:p>
    <w:p>
      <w:pPr>
        <w:pStyle w:val="0"/>
        <w:spacing w:before="240" w:lineRule="auto"/>
        <w:ind w:firstLine="540"/>
        <w:jc w:val="both"/>
      </w:pPr>
      <w:r>
        <w:rPr>
          <w:sz w:val="24"/>
        </w:rPr>
        <w:t xml:space="preserve">7. Передача функций по рассмотрению и анализу заявок и прилагаемых к ним документов и сведений между Комиссией, создаваемой Федеральным агентством по недропользованию, и Комиссией, создаваемой территориальным органом Федерального агентства по недропользованию, осуществляется по решению руководителя (заместителя руководителя) Федерального агентства по недропользованию.</w:t>
      </w:r>
    </w:p>
    <w:bookmarkStart w:id="81" w:name="P81"/>
    <w:bookmarkEnd w:id="81"/>
    <w:p>
      <w:pPr>
        <w:pStyle w:val="0"/>
        <w:spacing w:before="240" w:lineRule="auto"/>
        <w:ind w:firstLine="540"/>
        <w:jc w:val="both"/>
      </w:pPr>
      <w:r>
        <w:rPr>
          <w:sz w:val="24"/>
        </w:rPr>
        <w:t xml:space="preserve">8. В соответствии с </w:t>
      </w:r>
      <w:hyperlink w:history="0" r:id="rId29" w:tooltip="Закон РФ от 21.02.1992 N 2395-1 (ред. от 31.07.2025) &quot;О недрах&quot; {КонсультантПлюс}">
        <w:r>
          <w:rPr>
            <w:sz w:val="24"/>
            <w:color w:val="0000ff"/>
          </w:rPr>
          <w:t xml:space="preserve">частью двенадцатой статьи 12.1</w:t>
        </w:r>
      </w:hyperlink>
      <w:r>
        <w:rPr>
          <w:sz w:val="24"/>
        </w:rPr>
        <w:t xml:space="preserve">, </w:t>
      </w:r>
      <w:hyperlink w:history="0" r:id="rId30" w:tooltip="Закон РФ от 21.02.1992 N 2395-1 (ред. от 31.07.2025) &quot;О недрах&quot; {КонсультантПлюс}">
        <w:r>
          <w:rPr>
            <w:sz w:val="24"/>
            <w:color w:val="0000ff"/>
          </w:rPr>
          <w:t xml:space="preserve">частью первой статьи 17.1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лицензия на пользование недрами подлежит переоформлению в случае перехода права пользования участком недр по следующим основаниям:</w:t>
      </w:r>
    </w:p>
    <w:bookmarkStart w:id="82" w:name="P82"/>
    <w:bookmarkEnd w:id="82"/>
    <w:p>
      <w:pPr>
        <w:pStyle w:val="0"/>
        <w:spacing w:before="240" w:lineRule="auto"/>
        <w:ind w:firstLine="540"/>
        <w:jc w:val="both"/>
      </w:pPr>
      <w:r>
        <w:rPr>
          <w:sz w:val="24"/>
        </w:rPr>
        <w:t xml:space="preserve">1) реорганизация юридического лица - пользователя недр в форме преобразования;</w:t>
      </w:r>
    </w:p>
    <w:bookmarkStart w:id="83" w:name="P83"/>
    <w:bookmarkEnd w:id="83"/>
    <w:p>
      <w:pPr>
        <w:pStyle w:val="0"/>
        <w:spacing w:before="240" w:lineRule="auto"/>
        <w:ind w:firstLine="540"/>
        <w:jc w:val="both"/>
      </w:pPr>
      <w:r>
        <w:rPr>
          <w:sz w:val="24"/>
        </w:rPr>
        <w:t xml:space="preserve">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 в соответствии со </w:t>
      </w:r>
      <w:hyperlink w:history="0" r:id="rId31"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84" w:name="P84"/>
    <w:bookmarkEnd w:id="84"/>
    <w:p>
      <w:pPr>
        <w:pStyle w:val="0"/>
        <w:spacing w:before="240" w:lineRule="auto"/>
        <w:ind w:firstLine="540"/>
        <w:jc w:val="both"/>
      </w:pPr>
      <w:r>
        <w:rPr>
          <w:sz w:val="24"/>
        </w:rPr>
        <w:t xml:space="preserve">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bookmarkStart w:id="85" w:name="P85"/>
    <w:bookmarkEnd w:id="85"/>
    <w:p>
      <w:pPr>
        <w:pStyle w:val="0"/>
        <w:spacing w:before="240" w:lineRule="auto"/>
        <w:ind w:firstLine="540"/>
        <w:jc w:val="both"/>
      </w:pPr>
      <w:r>
        <w:rPr>
          <w:sz w:val="24"/>
        </w:rPr>
        <w:t xml:space="preserve">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bookmarkStart w:id="86" w:name="P86"/>
    <w:bookmarkEnd w:id="86"/>
    <w:p>
      <w:pPr>
        <w:pStyle w:val="0"/>
        <w:spacing w:before="240" w:lineRule="auto"/>
        <w:ind w:firstLine="540"/>
        <w:jc w:val="both"/>
      </w:pPr>
      <w:r>
        <w:rPr>
          <w:sz w:val="24"/>
        </w:rPr>
        <w:t xml:space="preserve">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bookmarkStart w:id="87" w:name="P87"/>
    <w:bookmarkEnd w:id="87"/>
    <w:p>
      <w:pPr>
        <w:pStyle w:val="0"/>
        <w:spacing w:before="240" w:lineRule="auto"/>
        <w:ind w:firstLine="540"/>
        <w:jc w:val="both"/>
      </w:pPr>
      <w:r>
        <w:rPr>
          <w:sz w:val="24"/>
        </w:rPr>
        <w:t xml:space="preserve">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bookmarkStart w:id="88" w:name="P88"/>
    <w:bookmarkEnd w:id="88"/>
    <w:p>
      <w:pPr>
        <w:pStyle w:val="0"/>
        <w:spacing w:before="240" w:lineRule="auto"/>
        <w:ind w:firstLine="540"/>
        <w:jc w:val="both"/>
      </w:pPr>
      <w:r>
        <w:rPr>
          <w:sz w:val="24"/>
        </w:rPr>
        <w:t xml:space="preserve">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bookmarkStart w:id="89" w:name="P89"/>
    <w:bookmarkEnd w:id="89"/>
    <w:p>
      <w:pPr>
        <w:pStyle w:val="0"/>
        <w:spacing w:before="240" w:lineRule="auto"/>
        <w:ind w:firstLine="540"/>
        <w:jc w:val="both"/>
      </w:pPr>
      <w:r>
        <w:rPr>
          <w:sz w:val="24"/>
        </w:rPr>
        <w:t xml:space="preserve">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недр, не принималось решение о досрочном прекращении права пользования недрами в соответствии с </w:t>
      </w:r>
      <w:hyperlink w:history="0" r:id="rId32" w:tooltip="Закон РФ от 21.02.1992 N 2395-1 (ред. от 31.07.2025) &quot;О недрах&quot; {КонсультантПлюс}">
        <w:r>
          <w:rPr>
            <w:sz w:val="24"/>
            <w:color w:val="0000ff"/>
          </w:rPr>
          <w:t xml:space="preserve">пунктами 1</w:t>
        </w:r>
      </w:hyperlink>
      <w:r>
        <w:rPr>
          <w:sz w:val="24"/>
        </w:rPr>
        <w:t xml:space="preserve"> - </w:t>
      </w:r>
      <w:hyperlink w:history="0" r:id="rId33" w:tooltip="Закон РФ от 21.02.1992 N 2395-1 (ред. от 31.07.2025) &quot;О недрах&quot; {КонсультантПлюс}">
        <w:r>
          <w:rPr>
            <w:sz w:val="24"/>
            <w:color w:val="0000ff"/>
          </w:rPr>
          <w:t xml:space="preserve">4</w:t>
        </w:r>
      </w:hyperlink>
      <w:r>
        <w:rPr>
          <w:sz w:val="24"/>
        </w:rPr>
        <w:t xml:space="preserve">, </w:t>
      </w:r>
      <w:hyperlink w:history="0" r:id="rId34" w:tooltip="Закон РФ от 21.02.1992 N 2395-1 (ред. от 31.07.2025) &quot;О недрах&quot; {КонсультантПлюс}">
        <w:r>
          <w:rPr>
            <w:sz w:val="24"/>
            <w:color w:val="0000ff"/>
          </w:rPr>
          <w:t xml:space="preserve">6</w:t>
        </w:r>
      </w:hyperlink>
      <w:r>
        <w:rPr>
          <w:sz w:val="24"/>
        </w:rPr>
        <w:t xml:space="preserve"> и </w:t>
      </w:r>
      <w:hyperlink w:history="0" r:id="rId35" w:tooltip="Закон РФ от 21.02.1992 N 2395-1 (ред. от 31.07.2025) &quot;О недрах&quot; {КонсультантПлюс}">
        <w:r>
          <w:rPr>
            <w:sz w:val="24"/>
            <w:color w:val="0000ff"/>
          </w:rPr>
          <w:t xml:space="preserve">7 части второй статьи 20</w:t>
        </w:r>
      </w:hyperlink>
      <w:r>
        <w:rPr>
          <w:sz w:val="24"/>
        </w:rPr>
        <w:t xml:space="preserve"> Закона Российской Федерации "О недрах",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w:t>
      </w:r>
    </w:p>
    <w:p>
      <w:pPr>
        <w:pStyle w:val="0"/>
        <w:jc w:val="both"/>
      </w:pPr>
      <w:r>
        <w:rPr>
          <w:sz w:val="24"/>
        </w:rPr>
        <w:t xml:space="preserve">(пп. 7(1) введен </w:t>
      </w:r>
      <w:hyperlink w:history="0" r:id="rId36"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bookmarkStart w:id="91" w:name="P91"/>
    <w:bookmarkEnd w:id="91"/>
    <w:p>
      <w:pPr>
        <w:pStyle w:val="0"/>
        <w:spacing w:before="240" w:lineRule="auto"/>
        <w:ind w:firstLine="540"/>
        <w:jc w:val="both"/>
      </w:pPr>
      <w:r>
        <w:rPr>
          <w:sz w:val="24"/>
        </w:rPr>
        <w:t xml:space="preserve">8) приобретение субъектом предпринимательской деятельности в порядке, предусмотренном Федеральным </w:t>
      </w:r>
      <w:hyperlink w:history="0" r:id="rId37"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 N 127-ФЗ "О несостоятельности (банкротстве)" (Собрание законодательства Российской Федерации, 2002, N 43, ст. 4190; 2021, N 27, ст. 5181) (далее - Федеральный закон "О несостоятельности (банкротстве)"),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bookmarkStart w:id="92" w:name="P92"/>
    <w:bookmarkEnd w:id="92"/>
    <w:p>
      <w:pPr>
        <w:pStyle w:val="0"/>
        <w:spacing w:before="240" w:lineRule="auto"/>
        <w:ind w:firstLine="540"/>
        <w:jc w:val="both"/>
      </w:pPr>
      <w:r>
        <w:rPr>
          <w:sz w:val="24"/>
        </w:rPr>
        <w:t xml:space="preserve">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w:history="0" r:id="rId38"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 N 416-ФЗ "О водоснабжении и водоотведении" (Собрание законодательства Российской Федерации, 2011, N 50, ст. 7358; 2021, N 27, ст. 5180) (далее - Федеральный закон "О водоснабжении и водоотведении");</w:t>
      </w:r>
    </w:p>
    <w:bookmarkStart w:id="93" w:name="P93"/>
    <w:bookmarkEnd w:id="93"/>
    <w:p>
      <w:pPr>
        <w:pStyle w:val="0"/>
        <w:spacing w:before="240" w:lineRule="auto"/>
        <w:ind w:firstLine="540"/>
        <w:jc w:val="both"/>
      </w:pPr>
      <w:r>
        <w:rPr>
          <w:sz w:val="24"/>
        </w:rPr>
        <w:t xml:space="preserve">10) передача права пользования участком недр, предоставленным субъекту предпринимательской деятельности на основании соглашения о разделе продукции в соответствии с Федеральным </w:t>
      </w:r>
      <w:hyperlink w:history="0" r:id="rId39" w:tooltip="Федеральный закон от 30.12.1995 N 225-ФЗ (ред. от 08.12.2020) &quot;О соглашениях о разделе продукции&quot; {КонсультантПлюс}">
        <w:r>
          <w:rPr>
            <w:sz w:val="24"/>
            <w:color w:val="0000ff"/>
          </w:rPr>
          <w:t xml:space="preserve">законом</w:t>
        </w:r>
      </w:hyperlink>
      <w:r>
        <w:rPr>
          <w:sz w:val="24"/>
        </w:rPr>
        <w:t xml:space="preserve"> от 30 декабря 1995 г. N 225-ФЗ "О соглашениях о разделе продукции" (Собрание законодательства Российской Федерации, 1996, N 1, ст. 18; 2020, N 50, ст. 8074) (далее - Федеральный закон "О соглашениях о разделе продукции").</w:t>
      </w:r>
    </w:p>
    <w:p>
      <w:pPr>
        <w:pStyle w:val="0"/>
        <w:spacing w:before="240" w:lineRule="auto"/>
        <w:ind w:firstLine="540"/>
        <w:jc w:val="both"/>
      </w:pPr>
      <w:r>
        <w:rPr>
          <w:sz w:val="24"/>
        </w:rPr>
        <w:t xml:space="preserve">9. В соответствии с </w:t>
      </w:r>
      <w:hyperlink w:history="0" r:id="rId40" w:tooltip="Закон РФ от 21.02.1992 N 2395-1 (ред. от 31.07.2025) &quot;О недрах&quot; {КонсультантПлюс}">
        <w:r>
          <w:rPr>
            <w:sz w:val="24"/>
            <w:color w:val="0000ff"/>
          </w:rPr>
          <w:t xml:space="preserve">частью шестнадцатой статьи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 переоформлении лицензии на пользование недрами условия пользования участком недр, установленные прежней лицензией на пользование недрами, пересмотру не подлежат.</w:t>
      </w:r>
    </w:p>
    <w:p>
      <w:pPr>
        <w:pStyle w:val="0"/>
        <w:spacing w:before="240" w:lineRule="auto"/>
        <w:ind w:firstLine="540"/>
        <w:jc w:val="both"/>
      </w:pPr>
      <w:r>
        <w:rPr>
          <w:sz w:val="24"/>
        </w:rPr>
        <w:t xml:space="preserve">10. До даты государственной регистрации переоформленной лицензии на пользование недрами осуществление пользования недрами допускается пользователем недр, а в случаях, предусмотренных </w:t>
      </w:r>
      <w:hyperlink w:history="0" r:id="rId4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пунктами 1</w:t>
        </w:r>
      </w:hyperlink>
      <w:r>
        <w:rPr>
          <w:sz w:val="24"/>
        </w:rPr>
        <w:t xml:space="preserve">, </w:t>
      </w:r>
      <w:hyperlink w:history="0" r:id="rId4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2</w:t>
        </w:r>
      </w:hyperlink>
      <w:r>
        <w:rPr>
          <w:sz w:val="24"/>
        </w:rPr>
        <w:t xml:space="preserve"> и </w:t>
      </w:r>
      <w:hyperlink w:history="0" r:id="rId4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5 статьи 58</w:t>
        </w:r>
      </w:hyperlink>
      <w:r>
        <w:rPr>
          <w:sz w:val="24"/>
        </w:rPr>
        <w:t xml:space="preserve"> Гражданского кодекса Российской Федерации (Собрание законодательства Российской Федерации, 1994, N 32, ст. 3301; 2014, N 19, ст. 2304), его правопреемником, отвечающим требованиям, предъявляемым к пользователям недр в соответствии со </w:t>
      </w:r>
      <w:hyperlink w:history="0" r:id="rId44"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и лицензией на пользование недрами, в отношении которой представлена заявка на ее переоформление.</w:t>
      </w:r>
    </w:p>
    <w:p>
      <w:pPr>
        <w:pStyle w:val="0"/>
        <w:jc w:val="both"/>
      </w:pPr>
      <w:r>
        <w:rPr>
          <w:sz w:val="24"/>
        </w:rPr>
      </w:r>
    </w:p>
    <w:p>
      <w:pPr>
        <w:pStyle w:val="2"/>
        <w:outlineLvl w:val="1"/>
        <w:jc w:val="center"/>
      </w:pPr>
      <w:r>
        <w:rPr>
          <w:sz w:val="24"/>
        </w:rPr>
        <w:t xml:space="preserve">II. Требования к заявке и прилагаемым к ней документам</w:t>
      </w:r>
    </w:p>
    <w:p>
      <w:pPr>
        <w:pStyle w:val="2"/>
        <w:jc w:val="center"/>
      </w:pPr>
      <w:r>
        <w:rPr>
          <w:sz w:val="24"/>
        </w:rPr>
        <w:t xml:space="preserve">и сведениям</w:t>
      </w:r>
    </w:p>
    <w:p>
      <w:pPr>
        <w:pStyle w:val="0"/>
        <w:jc w:val="both"/>
      </w:pPr>
      <w:r>
        <w:rPr>
          <w:sz w:val="24"/>
        </w:rPr>
      </w:r>
    </w:p>
    <w:p>
      <w:pPr>
        <w:pStyle w:val="0"/>
        <w:ind w:firstLine="540"/>
        <w:jc w:val="both"/>
      </w:pPr>
      <w:r>
        <w:rPr>
          <w:sz w:val="24"/>
        </w:rPr>
        <w:t xml:space="preserve">11. Основанием для начала процедуры переоформления лицензий на пользование недрами является заявка.</w:t>
      </w:r>
    </w:p>
    <w:bookmarkStart w:id="101" w:name="P101"/>
    <w:bookmarkEnd w:id="101"/>
    <w:p>
      <w:pPr>
        <w:pStyle w:val="0"/>
        <w:spacing w:before="240" w:lineRule="auto"/>
        <w:ind w:firstLine="540"/>
        <w:jc w:val="both"/>
      </w:pPr>
      <w:r>
        <w:rPr>
          <w:sz w:val="24"/>
        </w:rPr>
        <w:t xml:space="preserve">12. Заявка должна содержать:</w:t>
      </w:r>
    </w:p>
    <w:p>
      <w:pPr>
        <w:pStyle w:val="0"/>
        <w:spacing w:before="240" w:lineRule="auto"/>
        <w:ind w:firstLine="540"/>
        <w:jc w:val="both"/>
      </w:pPr>
      <w:r>
        <w:rPr>
          <w:sz w:val="24"/>
        </w:rPr>
        <w:t xml:space="preserve">1) сведения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соответствие заявителя требованиям, предъявляемым законодательством Российской Федерации о недрах к пользователям недр в соответствии со </w:t>
      </w:r>
      <w:hyperlink w:history="0" r:id="rId45"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w:t>
      </w:r>
    </w:p>
    <w:p>
      <w:pPr>
        <w:pStyle w:val="0"/>
        <w:spacing w:before="240" w:lineRule="auto"/>
        <w:ind w:firstLine="540"/>
        <w:jc w:val="both"/>
      </w:pPr>
      <w:r>
        <w:rPr>
          <w:sz w:val="24"/>
        </w:rPr>
        <w:t xml:space="preserve">2) государственный регистрационный номер переоформляемой лицензии на пользование недрами, дату ее государственной регистрации;</w:t>
      </w:r>
    </w:p>
    <w:p>
      <w:pPr>
        <w:pStyle w:val="0"/>
        <w:spacing w:before="240" w:lineRule="auto"/>
        <w:ind w:firstLine="540"/>
        <w:jc w:val="both"/>
      </w:pPr>
      <w:r>
        <w:rPr>
          <w:sz w:val="24"/>
        </w:rPr>
        <w:t xml:space="preserve">3) основание переоформления лицензии на пользование недрами, предусмотренное </w:t>
      </w:r>
      <w:hyperlink w:history="0" w:anchor="P81"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лицензия на пользование недрами подлежит переоформлению в случае перехода права пользования участком недр по следующим основаниям:">
        <w:r>
          <w:rPr>
            <w:sz w:val="24"/>
            <w:color w:val="0000ff"/>
          </w:rPr>
          <w:t xml:space="preserve">пунктом 8</w:t>
        </w:r>
      </w:hyperlink>
      <w:r>
        <w:rPr>
          <w:sz w:val="24"/>
        </w:rPr>
        <w:t xml:space="preserve"> настоящего Порядка, а в случае, если в соответствии со </w:t>
      </w:r>
      <w:hyperlink w:history="0" r:id="rId4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57</w:t>
        </w:r>
      </w:hyperlink>
      <w:r>
        <w:rPr>
          <w:sz w:val="24"/>
        </w:rPr>
        <w:t xml:space="preserve"> Гражданского кодекса Российской Федерации (Собрание законодательства Российской Федерации, 1994, N 32, ст. 3301; 2014, N 19, ст. 2304) реорганизация юридического лица - пользователя недр осуществлена с одновременным сочетанием различных ее форм, - все соответствующие основания переоформления лицензии на пользование недрами, предусмотренные </w:t>
      </w:r>
      <w:hyperlink w:history="0" w:anchor="P81"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лицензия на пользование недрами подлежит переоформлению в случае перехода права пользования участком недр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4) реквизиты платежного поручения, подтверждающего факт уплаты государственной пошлины, предусмотренной </w:t>
      </w:r>
      <w:hyperlink w:history="0" r:id="rId47"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четвертым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2019, N 48, ст. 6740);</w:t>
      </w:r>
    </w:p>
    <w:p>
      <w:pPr>
        <w:pStyle w:val="0"/>
        <w:spacing w:before="240" w:lineRule="auto"/>
        <w:ind w:firstLine="540"/>
        <w:jc w:val="both"/>
      </w:pPr>
      <w:r>
        <w:rPr>
          <w:sz w:val="24"/>
        </w:rPr>
        <w:t xml:space="preserve">5) согласие заявителя принять на себя в полном объеме выполнение условий пользования недрами, предусмотренных переоформляемой лицензией на пользование недрами, в том числе неисполненных пользователем недр.</w:t>
      </w:r>
    </w:p>
    <w:bookmarkStart w:id="107" w:name="P107"/>
    <w:bookmarkEnd w:id="107"/>
    <w:p>
      <w:pPr>
        <w:pStyle w:val="0"/>
        <w:spacing w:before="240" w:lineRule="auto"/>
        <w:ind w:firstLine="540"/>
        <w:jc w:val="both"/>
      </w:pPr>
      <w:r>
        <w:rPr>
          <w:sz w:val="24"/>
        </w:rPr>
        <w:t xml:space="preserve">13. К заявке прилагаются следующие документы и сведения:</w:t>
      </w:r>
    </w:p>
    <w:bookmarkStart w:id="108" w:name="P108"/>
    <w:bookmarkEnd w:id="108"/>
    <w:p>
      <w:pPr>
        <w:pStyle w:val="0"/>
        <w:spacing w:before="240" w:lineRule="auto"/>
        <w:ind w:firstLine="540"/>
        <w:jc w:val="both"/>
      </w:pPr>
      <w:r>
        <w:rPr>
          <w:sz w:val="24"/>
        </w:rPr>
        <w:t xml:space="preserve">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bookmarkStart w:id="109" w:name="P109"/>
    <w:bookmarkEnd w:id="109"/>
    <w:p>
      <w:pPr>
        <w:pStyle w:val="0"/>
        <w:spacing w:before="240" w:lineRule="auto"/>
        <w:ind w:firstLine="540"/>
        <w:jc w:val="both"/>
      </w:pPr>
      <w:r>
        <w:rPr>
          <w:sz w:val="24"/>
        </w:rPr>
        <w:t xml:space="preserve">2) перечень лиц, входящих в одну группу с заявителем, по </w:t>
      </w:r>
      <w:hyperlink w:history="0" r:id="rId48" w:tooltip="Приказ ФАС России от 20.11.2006 N 293 (ред. от 03.04.2014) &quot;Об утверждении формы представления перечня лиц, входящих в одну группу лиц&quot; (Зарегистрировано в Минюсте России 04.12.2006 N 8552) {КонсультантПлюс}">
        <w:r>
          <w:rPr>
            <w:sz w:val="24"/>
            <w:color w:val="0000ff"/>
          </w:rPr>
          <w:t xml:space="preserve">форме</w:t>
        </w:r>
      </w:hyperlink>
      <w:r>
        <w:rPr>
          <w:sz w:val="24"/>
        </w:rPr>
        <w:t xml:space="preserve"> представления перечня лиц, входящих в одну группу лиц, утвержденной приказом Федеральной антимонопольной службы от 20 ноября 2006 г. N 293 (зарегистрирован Минюстом России 4 декабря 2006 г., регистрационный N 8552), с изменениями, внесенными приказами Федеральной антимонопольной службы от 12 декабря 2007 г. N 424 (зарегистрирован Минюстом России 29 декабря 2007 г., регистрационный N 10854), от 24 ноября 2008 г. N 497 (зарегистрирован Минюстом России 28 января 2009 г., регистрационный N 13187), от 9 марта 2010 г. N 114 (зарегистрирован Минюстом России 4 мая 2010 г., регистрационный N 17098), от 26 декабря 2011 г. N 897 (зарегистрирован Минюстом России 9 апреля 2012 г., регистрационный N 23763), от 29 ноября 2012 г. N 724/12 (зарегистрирован Минюстом России 6 февраля 2013 г., регистрационный N 26867), от 3 апреля 2014 г. N 228/14 (зарегистрирован Минюстом России 29 апреля 2014 г., регистрационный N 32137), а для юридического лица в организационно-правовой форме акционерного общества (помимо перечня лиц, входящих в одну группу с заявителем) - выписка из реестра акционеров заявителя, полученная не ранее чем за один месяц до даты подачи заявки;</w:t>
      </w:r>
    </w:p>
    <w:bookmarkStart w:id="110" w:name="P110"/>
    <w:bookmarkEnd w:id="110"/>
    <w:p>
      <w:pPr>
        <w:pStyle w:val="0"/>
        <w:spacing w:before="240" w:lineRule="auto"/>
        <w:ind w:firstLine="540"/>
        <w:jc w:val="both"/>
      </w:pPr>
      <w:r>
        <w:rPr>
          <w:sz w:val="24"/>
        </w:rPr>
        <w:t xml:space="preserve">3) выписка из единого государственного реестра юридических лиц, полученная не ранее чем за один месяц до даты подачи заявки (для юридического лица),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bookmarkStart w:id="111" w:name="P111"/>
    <w:bookmarkEnd w:id="111"/>
    <w:p>
      <w:pPr>
        <w:pStyle w:val="0"/>
        <w:spacing w:before="240" w:lineRule="auto"/>
        <w:ind w:firstLine="540"/>
        <w:jc w:val="both"/>
      </w:pPr>
      <w:r>
        <w:rPr>
          <w:sz w:val="24"/>
        </w:rPr>
        <w:t xml:space="preserve">4) документы, предусмотренные </w:t>
      </w:r>
      <w:hyperlink w:history="0" w:anchor="P113" w:tooltip="14. К заявке, помимо документов и сведений, предусмотренных пунктом 13 настоящего Порядка, прилагаются следующие документы и сведения в зависимости от конкретного случая переоформления лицензий на пользование недрами:">
        <w:r>
          <w:rPr>
            <w:sz w:val="24"/>
            <w:color w:val="0000ff"/>
          </w:rPr>
          <w:t xml:space="preserve">пунктом 14</w:t>
        </w:r>
      </w:hyperlink>
      <w:r>
        <w:rPr>
          <w:sz w:val="24"/>
        </w:rPr>
        <w:t xml:space="preserve"> настоящего Порядка, в зависимости от конкретного основания переоформления лицензии на пользование недрами;</w:t>
      </w:r>
    </w:p>
    <w:bookmarkStart w:id="112" w:name="P112"/>
    <w:bookmarkEnd w:id="112"/>
    <w:p>
      <w:pPr>
        <w:pStyle w:val="0"/>
        <w:spacing w:before="240" w:lineRule="auto"/>
        <w:ind w:firstLine="540"/>
        <w:jc w:val="both"/>
      </w:pPr>
      <w:r>
        <w:rPr>
          <w:sz w:val="24"/>
        </w:rPr>
        <w:t xml:space="preserve">5) документы, предусмотренные </w:t>
      </w:r>
      <w:hyperlink w:history="0" w:anchor="P192" w:tooltip="18. Для переоформления лицензии на пользование участком недр федерального значения заявитель представляет справку о наличии (отсутствии)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пунктами 18</w:t>
        </w:r>
      </w:hyperlink>
      <w:r>
        <w:rPr>
          <w:sz w:val="24"/>
        </w:rPr>
        <w:t xml:space="preserve"> и </w:t>
      </w:r>
      <w:hyperlink w:history="0" w:anchor="P193"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й 8 Федерального закона от 29 апреля 2008 г.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обрание законодательства Росс...">
        <w:r>
          <w:rPr>
            <w:sz w:val="24"/>
            <w:color w:val="0000ff"/>
          </w:rPr>
          <w:t xml:space="preserve">19</w:t>
        </w:r>
      </w:hyperlink>
      <w:r>
        <w:rPr>
          <w:sz w:val="24"/>
        </w:rPr>
        <w:t xml:space="preserve"> настоящего Порядка (при переоформлении лицензий на пользование участком недр федерального значения).</w:t>
      </w:r>
    </w:p>
    <w:bookmarkStart w:id="113" w:name="P113"/>
    <w:bookmarkEnd w:id="113"/>
    <w:p>
      <w:pPr>
        <w:pStyle w:val="0"/>
        <w:spacing w:before="240" w:lineRule="auto"/>
        <w:ind w:firstLine="540"/>
        <w:jc w:val="both"/>
      </w:pPr>
      <w:r>
        <w:rPr>
          <w:sz w:val="24"/>
        </w:rPr>
        <w:t xml:space="preserve">14. К заявке, помимо документов и сведений, предусмотренных </w:t>
      </w:r>
      <w:hyperlink w:history="0" w:anchor="P107" w:tooltip="13. К заявке прилагаются следующие документы и сведения:">
        <w:r>
          <w:rPr>
            <w:sz w:val="24"/>
            <w:color w:val="0000ff"/>
          </w:rPr>
          <w:t xml:space="preserve">пунктом 13</w:t>
        </w:r>
      </w:hyperlink>
      <w:r>
        <w:rPr>
          <w:sz w:val="24"/>
        </w:rPr>
        <w:t xml:space="preserve"> настоящего Порядка, прилагаются следующие документы и сведения в зависимости от конкретного случая переоформления лицензий на пользование недрами:</w:t>
      </w:r>
    </w:p>
    <w:bookmarkStart w:id="114" w:name="P114"/>
    <w:bookmarkEnd w:id="114"/>
    <w:p>
      <w:pPr>
        <w:pStyle w:val="0"/>
        <w:spacing w:before="240" w:lineRule="auto"/>
        <w:ind w:firstLine="540"/>
        <w:jc w:val="both"/>
      </w:pPr>
      <w:r>
        <w:rPr>
          <w:sz w:val="24"/>
        </w:rPr>
        <w:t xml:space="preserve">1) в случае переоформления лицензий на пользование недрами по основанию, предусмотренному </w:t>
      </w:r>
      <w:hyperlink w:history="0" w:anchor="P82" w:tooltip="1) реорганизация юридического лица - пользователя недр в форме преобразования;">
        <w:r>
          <w:rPr>
            <w:sz w:val="24"/>
            <w:color w:val="0000ff"/>
          </w:rPr>
          <w:t xml:space="preserve">подпунктом 1 пункта 8</w:t>
        </w:r>
      </w:hyperlink>
      <w:r>
        <w:rPr>
          <w:sz w:val="24"/>
        </w:rPr>
        <w:t xml:space="preserve"> настоящего Порядка, -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w:history="0" r:id="rId4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(Собрание законодательства Российской Федерации, 1994, N 32, ст. 3301; 2015, N 27, ст. 4000), - сведения о номере типового устава, на основании которого действует заявитель;</w:t>
      </w:r>
    </w:p>
    <w:p>
      <w:pPr>
        <w:pStyle w:val="0"/>
        <w:spacing w:before="240" w:lineRule="auto"/>
        <w:ind w:firstLine="540"/>
        <w:jc w:val="both"/>
      </w:pPr>
      <w:r>
        <w:rPr>
          <w:sz w:val="24"/>
        </w:rPr>
        <w:t xml:space="preserve">2) в случае переоформления лицензий на пользование недрами по основаниям, предусмотренным </w:t>
      </w:r>
      <w:hyperlink w:history="0" w:anchor="P83" w:tooltip="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 в соответствии со статьей 9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подпунктами 2</w:t>
        </w:r>
      </w:hyperlink>
      <w:r>
        <w:rPr>
          <w:sz w:val="24"/>
        </w:rPr>
        <w:t xml:space="preserve"> и </w:t>
      </w:r>
      <w:hyperlink w:history="0" w:anchor="P84" w:tooltip="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
        <w:r>
          <w:rPr>
            <w:sz w:val="24"/>
            <w:color w:val="0000ff"/>
          </w:rPr>
          <w:t xml:space="preserve">3 пункта 8</w:t>
        </w:r>
      </w:hyperlink>
      <w:r>
        <w:rPr>
          <w:sz w:val="24"/>
        </w:rPr>
        <w:t xml:space="preserve"> настоящего Порядка:</w:t>
      </w:r>
    </w:p>
    <w:p>
      <w:pPr>
        <w:pStyle w:val="0"/>
        <w:spacing w:before="240" w:lineRule="auto"/>
        <w:ind w:firstLine="540"/>
        <w:jc w:val="both"/>
      </w:pPr>
      <w:r>
        <w:rPr>
          <w:sz w:val="24"/>
        </w:rP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w:history="0" r:id="rId5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действует заявитель;</w:t>
      </w:r>
    </w:p>
    <w:p>
      <w:pPr>
        <w:pStyle w:val="0"/>
        <w:spacing w:before="240" w:lineRule="auto"/>
        <w:ind w:firstLine="540"/>
        <w:jc w:val="both"/>
      </w:pPr>
      <w:r>
        <w:rPr>
          <w:sz w:val="24"/>
        </w:rPr>
        <w:t xml:space="preserve">б)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history="0" w:anchor="P177"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пунктами 16</w:t>
        </w:r>
      </w:hyperlink>
      <w:r>
        <w:rPr>
          <w:sz w:val="24"/>
        </w:rPr>
        <w:t xml:space="preserve"> и </w:t>
      </w:r>
      <w:hyperlink w:history="0" w:anchor="P184"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17</w:t>
        </w:r>
      </w:hyperlink>
      <w:r>
        <w:rPr>
          <w:sz w:val="24"/>
        </w:rPr>
        <w:t xml:space="preserve"> настоящего Порядка;</w:t>
      </w:r>
    </w:p>
    <w:bookmarkStart w:id="118" w:name="P118"/>
    <w:bookmarkEnd w:id="118"/>
    <w:p>
      <w:pPr>
        <w:pStyle w:val="0"/>
        <w:spacing w:before="240" w:lineRule="auto"/>
        <w:ind w:firstLine="540"/>
        <w:jc w:val="both"/>
      </w:pPr>
      <w:r>
        <w:rPr>
          <w:sz w:val="24"/>
        </w:rPr>
        <w:t xml:space="preserve">3) в случае переоформления лицензий на пользование недрами по основаниям, предусмотренным </w:t>
      </w:r>
      <w:hyperlink w:history="0" w:anchor="P85" w:tooltip="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
        <w:r>
          <w:rPr>
            <w:sz w:val="24"/>
            <w:color w:val="0000ff"/>
          </w:rPr>
          <w:t xml:space="preserve">подпунктами 4</w:t>
        </w:r>
      </w:hyperlink>
      <w:r>
        <w:rPr>
          <w:sz w:val="24"/>
        </w:rPr>
        <w:t xml:space="preserve"> и </w:t>
      </w:r>
      <w:hyperlink w:history="0" w:anchor="P86" w:tooltip="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
        <w:r>
          <w:rPr>
            <w:sz w:val="24"/>
            <w:color w:val="0000ff"/>
          </w:rPr>
          <w:t xml:space="preserve">5 пункта 8</w:t>
        </w:r>
      </w:hyperlink>
      <w:r>
        <w:rPr>
          <w:sz w:val="24"/>
        </w:rPr>
        <w:t xml:space="preserve"> настоящего Порядка:</w:t>
      </w:r>
    </w:p>
    <w:p>
      <w:pPr>
        <w:pStyle w:val="0"/>
        <w:spacing w:before="240" w:lineRule="auto"/>
        <w:ind w:firstLine="540"/>
        <w:jc w:val="both"/>
      </w:pPr>
      <w:r>
        <w:rPr>
          <w:sz w:val="24"/>
        </w:rPr>
        <w:t xml:space="preserve">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 (или) пользователь недр по переоформляемой лицензии на пользование недрами действуют на основании типового устава, предусмотренного </w:t>
      </w:r>
      <w:hyperlink w:history="0" r:id="rId5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действуют заявитель и (или) пользователь недр по переоформляемой лицензии на пользование недрами;</w:t>
      </w:r>
    </w:p>
    <w:p>
      <w:pPr>
        <w:pStyle w:val="0"/>
        <w:spacing w:before="240" w:lineRule="auto"/>
        <w:ind w:firstLine="540"/>
        <w:jc w:val="both"/>
      </w:pPr>
      <w:r>
        <w:rPr>
          <w:sz w:val="24"/>
        </w:rPr>
        <w:t xml:space="preserve">б)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history="0" w:anchor="P176"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
        <w:r>
          <w:rPr>
            <w:sz w:val="24"/>
            <w:color w:val="0000ff"/>
          </w:rPr>
          <w:t xml:space="preserve">пункте 15</w:t>
        </w:r>
      </w:hyperlink>
      <w:r>
        <w:rPr>
          <w:sz w:val="24"/>
        </w:rPr>
        <w:t xml:space="preserve"> настоящего Порядка (в случае, если на дату подачи заявки пользователь недр по переоформляемой лицензии на пользование недрами сохраняет статус юридического лица);</w:t>
      </w:r>
    </w:p>
    <w:p>
      <w:pPr>
        <w:pStyle w:val="0"/>
        <w:spacing w:before="240" w:lineRule="auto"/>
        <w:ind w:firstLine="540"/>
        <w:jc w:val="both"/>
      </w:pPr>
      <w:r>
        <w:rPr>
          <w:sz w:val="24"/>
        </w:rPr>
        <w:t xml:space="preserve">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history="0" w:anchor="P177"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пунктами 16</w:t>
        </w:r>
      </w:hyperlink>
      <w:r>
        <w:rPr>
          <w:sz w:val="24"/>
        </w:rPr>
        <w:t xml:space="preserve"> и </w:t>
      </w:r>
      <w:hyperlink w:history="0" w:anchor="P184"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17</w:t>
        </w:r>
      </w:hyperlink>
      <w:r>
        <w:rPr>
          <w:sz w:val="24"/>
        </w:rPr>
        <w:t xml:space="preserve"> настоящего Порядка;</w:t>
      </w:r>
    </w:p>
    <w:p>
      <w:pPr>
        <w:pStyle w:val="0"/>
        <w:spacing w:before="240" w:lineRule="auto"/>
        <w:ind w:firstLine="540"/>
        <w:jc w:val="both"/>
      </w:pPr>
      <w:r>
        <w:rPr>
          <w:sz w:val="24"/>
        </w:rPr>
        <w:t xml:space="preserve">г) копия передаточного акта, который в соответствии со </w:t>
      </w:r>
      <w:hyperlink w:history="0" r:id="rId5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59</w:t>
        </w:r>
      </w:hyperlink>
      <w:r>
        <w:rPr>
          <w:sz w:val="24"/>
        </w:rPr>
        <w:t xml:space="preserve"> Гражданского кодекса Российской Федерации (Собрание законодательства Российской Федерации, 1994, N 32, ст. 3301; 2014, N 19, ст. 2304) должен содержать положения о правопреемстве заявителя по всем обязательствам, связанным с пользованием недрами по переоформляемой лицензии на пользование недрами, реорганизованного юридического лица - пользователя недр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pPr>
        <w:pStyle w:val="0"/>
        <w:spacing w:before="240" w:lineRule="auto"/>
        <w:ind w:firstLine="540"/>
        <w:jc w:val="both"/>
      </w:pPr>
      <w:r>
        <w:rPr>
          <w:sz w:val="24"/>
        </w:rPr>
        <w:t xml:space="preserve">д)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 (при наличии);</w:t>
      </w:r>
    </w:p>
    <w:p>
      <w:pPr>
        <w:pStyle w:val="0"/>
        <w:spacing w:before="240" w:lineRule="auto"/>
        <w:ind w:firstLine="540"/>
        <w:jc w:val="both"/>
      </w:pPr>
      <w:r>
        <w:rPr>
          <w:sz w:val="24"/>
        </w:rPr>
        <w:t xml:space="preserve">е)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w:history="0" r:id="rId53" w:tooltip="Закон РФ от 21.02.1992 N 2395-1 (ред. от 31.07.2025) &quot;О недрах&quot; {КонсультантПлюс}">
        <w:r>
          <w:rPr>
            <w:sz w:val="24"/>
            <w:color w:val="0000ff"/>
          </w:rPr>
          <w:t xml:space="preserve">статьей 36.1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history="0" r:id="rId54"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pPr>
        <w:pStyle w:val="0"/>
        <w:spacing w:before="240" w:lineRule="auto"/>
        <w:ind w:firstLine="540"/>
        <w:jc w:val="both"/>
      </w:pPr>
      <w:r>
        <w:rPr>
          <w:sz w:val="24"/>
        </w:rPr>
        <w:t xml:space="preserve">4) в случае переоформления лицензий на пользование недрами по основанию, предусмотренному </w:t>
      </w:r>
      <w:hyperlink w:history="0" w:anchor="P87" w:tooltip="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
        <w:r>
          <w:rPr>
            <w:sz w:val="24"/>
            <w:color w:val="0000ff"/>
          </w:rPr>
          <w:t xml:space="preserve">подпунктом 6 пункта 8</w:t>
        </w:r>
      </w:hyperlink>
      <w:r>
        <w:rPr>
          <w:sz w:val="24"/>
        </w:rPr>
        <w:t xml:space="preserve"> настоящего Порядка:</w:t>
      </w:r>
    </w:p>
    <w:p>
      <w:pPr>
        <w:pStyle w:val="0"/>
        <w:spacing w:before="240" w:lineRule="auto"/>
        <w:ind w:firstLine="540"/>
        <w:jc w:val="both"/>
      </w:pPr>
      <w:r>
        <w:rPr>
          <w:sz w:val="24"/>
        </w:rPr>
        <w:t xml:space="preserve">а) заверенные в соответствии с требованиями законодательства Российской Федерации копии учредительных документов заявителя, содержащих указание на то, что новое юридическое лицо (заявитель) создано для продолжения деятельности на предоставленном предыдущему юридическому лицу (пользователю недр) участке недр (за исключением случая, если заявитель действует на основании типового устава, предусмотренного </w:t>
      </w:r>
      <w:hyperlink w:history="0" r:id="rId5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б) копия решения об учреждении (создании) нового юридического лица (заявителя) в виде протокола, договора или иного документа в соответствии с законодательством Российской Федерации, содержащего указание на то, что новое юридическое лицо (заявитель) создано для продолжения деятельности на предоставленном предыдущему юридическому лицу (пользователю недр) участке недр, а также сведения о номере типового устава, предусмотренного </w:t>
      </w:r>
      <w:hyperlink w:history="0" r:id="rId5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на основании которого действует заявитель (в случае, если заявитель действует на основании типового устава, предусмотренного </w:t>
      </w:r>
      <w:hyperlink w:history="0" r:id="rId5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в) заверенные в соответствии с требованиями законодательства Российской Федерации копии учредительных документов пользователя недр по переоформляемой лицензии на пользование недрами, а в случае, если пользователь недр по переоформляемой лицензии на пользование недрами действует на основании типового устава, предусмотренного </w:t>
      </w:r>
      <w:hyperlink w:history="0" r:id="rId5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действует пользователь недр по переоформляемой лицензии на пользование недрами;</w:t>
      </w:r>
    </w:p>
    <w:p>
      <w:pPr>
        <w:pStyle w:val="0"/>
        <w:spacing w:before="240" w:lineRule="auto"/>
        <w:ind w:firstLine="540"/>
        <w:jc w:val="both"/>
      </w:pPr>
      <w:r>
        <w:rPr>
          <w:sz w:val="24"/>
        </w:rPr>
        <w:t xml:space="preserve">г)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history="0" w:anchor="P176"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
        <w:r>
          <w:rPr>
            <w:sz w:val="24"/>
            <w:color w:val="0000ff"/>
          </w:rPr>
          <w:t xml:space="preserve">пункте 15</w:t>
        </w:r>
      </w:hyperlink>
      <w:r>
        <w:rPr>
          <w:sz w:val="24"/>
        </w:rPr>
        <w:t xml:space="preserve"> настоящего Порядка;</w:t>
      </w:r>
    </w:p>
    <w:p>
      <w:pPr>
        <w:pStyle w:val="0"/>
        <w:spacing w:before="240" w:lineRule="auto"/>
        <w:ind w:firstLine="540"/>
        <w:jc w:val="both"/>
      </w:pPr>
      <w:r>
        <w:rPr>
          <w:sz w:val="24"/>
        </w:rPr>
        <w:t xml:space="preserve">д)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history="0" w:anchor="P177"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пунктами 16</w:t>
        </w:r>
      </w:hyperlink>
      <w:r>
        <w:rPr>
          <w:sz w:val="24"/>
        </w:rPr>
        <w:t xml:space="preserve"> и </w:t>
      </w:r>
      <w:hyperlink w:history="0" w:anchor="P184"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17</w:t>
        </w:r>
      </w:hyperlink>
      <w:r>
        <w:rPr>
          <w:sz w:val="24"/>
        </w:rPr>
        <w:t xml:space="preserve"> настоящего Порядка;</w:t>
      </w:r>
    </w:p>
    <w:p>
      <w:pPr>
        <w:pStyle w:val="0"/>
        <w:spacing w:before="240" w:lineRule="auto"/>
        <w:ind w:firstLine="540"/>
        <w:jc w:val="both"/>
      </w:pPr>
      <w:r>
        <w:rPr>
          <w:sz w:val="24"/>
        </w:rPr>
        <w:t xml:space="preserve">е)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 недрами к заявителю;</w:t>
      </w:r>
    </w:p>
    <w:p>
      <w:pPr>
        <w:pStyle w:val="0"/>
        <w:spacing w:before="240" w:lineRule="auto"/>
        <w:ind w:firstLine="540"/>
        <w:jc w:val="both"/>
      </w:pPr>
      <w:r>
        <w:rPr>
          <w:sz w:val="24"/>
        </w:rPr>
        <w:t xml:space="preserve">ж) копии документов (договоров и (или)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pPr>
        <w:pStyle w:val="0"/>
        <w:spacing w:before="240" w:lineRule="auto"/>
        <w:ind w:firstLine="540"/>
        <w:jc w:val="both"/>
      </w:pPr>
      <w:r>
        <w:rPr>
          <w:sz w:val="24"/>
        </w:rPr>
        <w:t xml:space="preserve">з) перечень объектов недвижимости, входящих в состав переданного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объектов недвижимости);</w:t>
      </w:r>
    </w:p>
    <w:p>
      <w:pPr>
        <w:pStyle w:val="0"/>
        <w:spacing w:before="240" w:lineRule="auto"/>
        <w:ind w:firstLine="540"/>
        <w:jc w:val="both"/>
      </w:pPr>
      <w:r>
        <w:rPr>
          <w:sz w:val="24"/>
        </w:rPr>
        <w:t xml:space="preserve">и)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pPr>
        <w:pStyle w:val="0"/>
        <w:spacing w:before="240" w:lineRule="auto"/>
        <w:ind w:firstLine="540"/>
        <w:jc w:val="both"/>
      </w:pPr>
      <w:r>
        <w:rPr>
          <w:sz w:val="24"/>
        </w:rPr>
        <w:t xml:space="preserve">к)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w:history="0" r:id="rId59" w:tooltip="Закон РФ от 21.02.1992 N 2395-1 (ред. от 31.07.2025) &quot;О недрах&quot; {КонсультантПлюс}">
        <w:r>
          <w:rPr>
            <w:sz w:val="24"/>
            <w:color w:val="0000ff"/>
          </w:rPr>
          <w:t xml:space="preserve">статьей 36.1</w:t>
        </w:r>
      </w:hyperlink>
      <w:r>
        <w:rPr>
          <w:sz w:val="24"/>
        </w:rP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history="0" r:id="rId60"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p>
      <w:pPr>
        <w:pStyle w:val="0"/>
        <w:spacing w:before="240" w:lineRule="auto"/>
        <w:ind w:firstLine="540"/>
        <w:jc w:val="both"/>
      </w:pPr>
      <w:r>
        <w:rPr>
          <w:sz w:val="24"/>
        </w:rPr>
        <w:t xml:space="preserve">5) в случае переоформления лицензий на пользование недрами по основанию, предусмотренному </w:t>
      </w:r>
      <w:hyperlink w:history="0" w:anchor="P88" w:tooltip="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
        <w:r>
          <w:rPr>
            <w:sz w:val="24"/>
            <w:color w:val="0000ff"/>
          </w:rPr>
          <w:t xml:space="preserve">подпунктом 7 пункта 8</w:t>
        </w:r>
      </w:hyperlink>
      <w:r>
        <w:rPr>
          <w:sz w:val="24"/>
        </w:rPr>
        <w:t xml:space="preserve"> настоящего Порядка:</w:t>
      </w:r>
    </w:p>
    <w:p>
      <w:pPr>
        <w:pStyle w:val="0"/>
        <w:spacing w:before="240" w:lineRule="auto"/>
        <w:ind w:firstLine="540"/>
        <w:jc w:val="both"/>
      </w:pPr>
      <w:r>
        <w:rPr>
          <w:sz w:val="24"/>
        </w:rPr>
        <w:t xml:space="preserve">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 (или) пользователь недр по переоформляемой лицензии на пользование недрами действуют на основании типового устава, предусмотренного </w:t>
      </w:r>
      <w:hyperlink w:history="0" r:id="rId6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действуют заявитель и (или) пользователь недр по переоформляемой лицензии на пользование недрами;</w:t>
      </w:r>
    </w:p>
    <w:p>
      <w:pPr>
        <w:pStyle w:val="0"/>
        <w:spacing w:before="240" w:lineRule="auto"/>
        <w:ind w:firstLine="540"/>
        <w:jc w:val="both"/>
      </w:pPr>
      <w:r>
        <w:rPr>
          <w:sz w:val="24"/>
        </w:rPr>
        <w:t xml:space="preserve">б) заверенные в соответствии с требованиями законодательства Российской Федерации копии учредительных документов основного общества заявителя и пользователя недр по переоформляемой лицензии на пользование недрами, а в случае, если основное общество заявителя и пользователя недр по переоформляемой лицензии на пользование недрами действует на основании типового устава, предусмотренного </w:t>
      </w:r>
      <w:hyperlink w:history="0" r:id="rId6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действует основное общество заявителя и пользователя недр по переоформляемой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pPr>
        <w:pStyle w:val="0"/>
        <w:spacing w:before="240" w:lineRule="auto"/>
        <w:ind w:firstLine="540"/>
        <w:jc w:val="both"/>
      </w:pPr>
      <w:r>
        <w:rPr>
          <w:sz w:val="24"/>
        </w:rPr>
        <w:t xml:space="preserve">в)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history="0" w:anchor="P176"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
        <w:r>
          <w:rPr>
            <w:sz w:val="24"/>
            <w:color w:val="0000ff"/>
          </w:rPr>
          <w:t xml:space="preserve">пункте 15</w:t>
        </w:r>
      </w:hyperlink>
      <w:r>
        <w:rPr>
          <w:sz w:val="24"/>
        </w:rPr>
        <w:t xml:space="preserve"> настоящего Порядка;</w:t>
      </w:r>
    </w:p>
    <w:p>
      <w:pPr>
        <w:pStyle w:val="0"/>
        <w:spacing w:before="240" w:lineRule="auto"/>
        <w:ind w:firstLine="540"/>
        <w:jc w:val="both"/>
      </w:pPr>
      <w:r>
        <w:rPr>
          <w:sz w:val="24"/>
        </w:rPr>
        <w:t xml:space="preserve">г)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участке недр, предусмотренные </w:t>
      </w:r>
      <w:hyperlink w:history="0" w:anchor="P177"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пунктами 16</w:t>
        </w:r>
      </w:hyperlink>
      <w:r>
        <w:rPr>
          <w:sz w:val="24"/>
        </w:rPr>
        <w:t xml:space="preserve"> и </w:t>
      </w:r>
      <w:hyperlink w:history="0" w:anchor="P184"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17</w:t>
        </w:r>
      </w:hyperlink>
      <w:r>
        <w:rPr>
          <w:sz w:val="24"/>
        </w:rPr>
        <w:t xml:space="preserve"> настоящего Порядка;</w:t>
      </w:r>
    </w:p>
    <w:p>
      <w:pPr>
        <w:pStyle w:val="0"/>
        <w:spacing w:before="240" w:lineRule="auto"/>
        <w:ind w:firstLine="540"/>
        <w:jc w:val="both"/>
      </w:pPr>
      <w:r>
        <w:rPr>
          <w:sz w:val="24"/>
        </w:rPr>
        <w:t xml:space="preserve">д)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 недрами к заявителю;</w:t>
      </w:r>
    </w:p>
    <w:p>
      <w:pPr>
        <w:pStyle w:val="0"/>
        <w:spacing w:before="240" w:lineRule="auto"/>
        <w:ind w:firstLine="540"/>
        <w:jc w:val="both"/>
      </w:pPr>
      <w:r>
        <w:rPr>
          <w:sz w:val="24"/>
        </w:rPr>
        <w:t xml:space="preserve">е) указание в простой письменной форме основного общества на переоформление лицензии на пользование недрами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w:t>
      </w:r>
    </w:p>
    <w:p>
      <w:pPr>
        <w:pStyle w:val="0"/>
        <w:spacing w:before="240" w:lineRule="auto"/>
        <w:ind w:firstLine="540"/>
        <w:jc w:val="both"/>
      </w:pPr>
      <w:r>
        <w:rPr>
          <w:sz w:val="24"/>
        </w:rPr>
        <w:t xml:space="preserve">ж) документы, подтверждающие статус основного и дочернего обществ;</w:t>
      </w:r>
    </w:p>
    <w:p>
      <w:pPr>
        <w:pStyle w:val="0"/>
        <w:spacing w:before="240" w:lineRule="auto"/>
        <w:ind w:firstLine="540"/>
        <w:jc w:val="both"/>
      </w:pPr>
      <w:r>
        <w:rPr>
          <w:sz w:val="24"/>
        </w:rPr>
        <w:t xml:space="preserve">з) копии документов (договоров и (или) актов приема-передачи), подтверждающих передачу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w:t>
      </w:r>
    </w:p>
    <w:p>
      <w:pPr>
        <w:pStyle w:val="0"/>
        <w:spacing w:before="240" w:lineRule="auto"/>
        <w:ind w:firstLine="540"/>
        <w:jc w:val="both"/>
      </w:pPr>
      <w:r>
        <w:rPr>
          <w:sz w:val="24"/>
        </w:rPr>
        <w:t xml:space="preserve">и) перечень объектов недвижимости, входящих в состав переданного заявителю имущества, необходимого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от пользователя недр по переоформляемой лицензии на пользование недрами или иного лица,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передачи заявителю таких объектов недвижимости);</w:t>
      </w:r>
    </w:p>
    <w:p>
      <w:pPr>
        <w:pStyle w:val="0"/>
        <w:spacing w:before="240" w:lineRule="auto"/>
        <w:ind w:firstLine="540"/>
        <w:jc w:val="both"/>
      </w:pPr>
      <w:r>
        <w:rPr>
          <w:sz w:val="24"/>
        </w:rPr>
        <w:t xml:space="preserve">к)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p>
      <w:pPr>
        <w:pStyle w:val="0"/>
        <w:spacing w:before="240" w:lineRule="auto"/>
        <w:ind w:firstLine="540"/>
        <w:jc w:val="both"/>
      </w:pPr>
      <w:r>
        <w:rPr>
          <w:sz w:val="24"/>
        </w:rPr>
        <w:t xml:space="preserve">л)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w:history="0" r:id="rId63" w:tooltip="Закон РФ от 21.02.1992 N 2395-1 (ред. от 31.07.2025) &quot;О недрах&quot; {КонсультантПлюс}">
        <w:r>
          <w:rPr>
            <w:sz w:val="24"/>
            <w:color w:val="0000ff"/>
          </w:rPr>
          <w:t xml:space="preserve">статьей 36.1</w:t>
        </w:r>
      </w:hyperlink>
      <w:r>
        <w:rPr>
          <w:sz w:val="24"/>
        </w:rP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history="0" r:id="rId64"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bookmarkStart w:id="148" w:name="P148"/>
    <w:bookmarkEnd w:id="148"/>
    <w:p>
      <w:pPr>
        <w:pStyle w:val="0"/>
        <w:spacing w:before="240" w:lineRule="auto"/>
        <w:ind w:firstLine="540"/>
        <w:jc w:val="both"/>
      </w:pPr>
      <w:r>
        <w:rPr>
          <w:sz w:val="24"/>
        </w:rPr>
        <w:t xml:space="preserve">5(1)) в случае переоформления лицензий на пользование недрами по основанию, предусмотренному </w:t>
      </w:r>
      <w:hyperlink w:history="0" w:anchor="P89" w:tooltip="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
        <w:r>
          <w:rPr>
            <w:sz w:val="24"/>
            <w:color w:val="0000ff"/>
          </w:rPr>
          <w:t xml:space="preserve">подпунктом 7(1) пункта 8</w:t>
        </w:r>
      </w:hyperlink>
      <w:r>
        <w:rPr>
          <w:sz w:val="24"/>
        </w:rPr>
        <w:t xml:space="preserve"> настоящего Порядка:</w:t>
      </w:r>
    </w:p>
    <w:p>
      <w:pPr>
        <w:pStyle w:val="0"/>
        <w:spacing w:before="240" w:lineRule="auto"/>
        <w:ind w:firstLine="540"/>
        <w:jc w:val="both"/>
      </w:pPr>
      <w:r>
        <w:rPr>
          <w:sz w:val="24"/>
        </w:rPr>
        <w:t xml:space="preserve">а) заверенные в соответствии с требованиями законодательства Российской Федерации копии учредительных документов заявителя и пользователя недр по переоформляемой лицензии на пользование недрами, а в случае, если заявитель и (или) пользователь недр по переоформляемой лицензии на пользование недрами действуют на основании типового устава, предусмотренного </w:t>
      </w:r>
      <w:hyperlink w:history="0" r:id="rId6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действуют заявитель и (или) пользователь недр по переоформляемой лицензии на пользование недрами;</w:t>
      </w:r>
    </w:p>
    <w:p>
      <w:pPr>
        <w:pStyle w:val="0"/>
        <w:spacing w:before="240" w:lineRule="auto"/>
        <w:ind w:firstLine="540"/>
        <w:jc w:val="both"/>
      </w:pPr>
      <w:r>
        <w:rPr>
          <w:sz w:val="24"/>
        </w:rPr>
        <w:t xml:space="preserve">б) согласие пользователя недр в простой письменной форме по переоформляемой лицензии на пользование недрами на ее переоформление, представляемое с приложением документов, указанных в </w:t>
      </w:r>
      <w:hyperlink w:history="0" w:anchor="P176"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
        <w:r>
          <w:rPr>
            <w:sz w:val="24"/>
            <w:color w:val="0000ff"/>
          </w:rPr>
          <w:t xml:space="preserve">пункте 15</w:t>
        </w:r>
      </w:hyperlink>
      <w:r>
        <w:rPr>
          <w:sz w:val="24"/>
        </w:rPr>
        <w:t xml:space="preserve"> настоящего Порядка;</w:t>
      </w:r>
    </w:p>
    <w:p>
      <w:pPr>
        <w:pStyle w:val="0"/>
        <w:spacing w:before="240" w:lineRule="auto"/>
        <w:ind w:firstLine="540"/>
        <w:jc w:val="both"/>
      </w:pPr>
      <w:r>
        <w:rPr>
          <w:sz w:val="24"/>
        </w:rPr>
        <w:t xml:space="preserve">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участке недр, предусмотренные </w:t>
      </w:r>
      <w:hyperlink w:history="0" w:anchor="P177"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пунктами 16</w:t>
        </w:r>
      </w:hyperlink>
      <w:r>
        <w:rPr>
          <w:sz w:val="24"/>
        </w:rPr>
        <w:t xml:space="preserve"> и </w:t>
      </w:r>
      <w:hyperlink w:history="0" w:anchor="P184"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17</w:t>
        </w:r>
      </w:hyperlink>
      <w:r>
        <w:rPr>
          <w:sz w:val="24"/>
        </w:rPr>
        <w:t xml:space="preserve"> настоящего Порядка;</w:t>
      </w:r>
    </w:p>
    <w:p>
      <w:pPr>
        <w:pStyle w:val="0"/>
        <w:spacing w:before="240" w:lineRule="auto"/>
        <w:ind w:firstLine="540"/>
        <w:jc w:val="both"/>
      </w:pPr>
      <w:r>
        <w:rPr>
          <w:sz w:val="24"/>
        </w:rPr>
        <w:t xml:space="preserve">г) заверенная в соответствии с требованиями законодательства Российской Федерации копия решения уполномоченного органа управления пользователя недр по переоформляемой лицензии на пользование недрами, принятого в порядке, предусмотренном учредительными документами данного юридического лица - пользователя недр, об одобрении перехода права пользования участком недр по переоформляемой лицензии на пользование недрами к заявителю;</w:t>
      </w:r>
    </w:p>
    <w:bookmarkStart w:id="153" w:name="P153"/>
    <w:bookmarkEnd w:id="153"/>
    <w:p>
      <w:pPr>
        <w:pStyle w:val="0"/>
        <w:spacing w:before="240" w:lineRule="auto"/>
        <w:ind w:firstLine="540"/>
        <w:jc w:val="both"/>
      </w:pPr>
      <w:r>
        <w:rPr>
          <w:sz w:val="24"/>
        </w:rPr>
        <w:t xml:space="preserve">д) реестровый номер (реестровые номера) документа (документов), содержащего (содержащих) интерпретированную геологическую информацию о недрах, полученную пользователем недр по переоформляемой лицензии на пользование недрами при осуществлении работ по геологическому изучению недр, включающему поиски и оценку месторождений полезных ископаемых, на участке недр, предоставленном в пользование по переоформляемой лицензии на пользование недрами, в федеральной государственной информационной системе "Единый фонд геологической информации о недрах" в соответствии со </w:t>
      </w:r>
      <w:hyperlink w:history="0" r:id="rId66" w:tooltip="Закон РФ от 21.02.1992 N 2395-1 (ред. от 31.07.2025) &quot;О недрах&quot; {КонсультантПлюс}">
        <w:r>
          <w:rPr>
            <w:sz w:val="24"/>
            <w:color w:val="0000ff"/>
          </w:rPr>
          <w:t xml:space="preserve">статьей 27.1</w:t>
        </w:r>
      </w:hyperlink>
      <w:r>
        <w:rPr>
          <w:sz w:val="24"/>
        </w:rPr>
        <w:t xml:space="preserve"> Закона Российской Федерации "О недрах" (в случае если указанный документ (указанные документы) включен (включены) в реестр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"Единый фонд геологической информации о недрах" в соответствии со </w:t>
      </w:r>
      <w:hyperlink w:history="0" r:id="rId67" w:tooltip="Закон РФ от 21.02.1992 N 2395-1 (ред. от 31.07.2025) &quot;О недрах&quot; {КонсультантПлюс}">
        <w:r>
          <w:rPr>
            <w:sz w:val="24"/>
            <w:color w:val="0000ff"/>
          </w:rPr>
          <w:t xml:space="preserve">статьей 27.1</w:t>
        </w:r>
      </w:hyperlink>
      <w:r>
        <w:rPr>
          <w:sz w:val="24"/>
        </w:rPr>
        <w:t xml:space="preserve"> Закона Российской Федерации "О недрах");</w:t>
      </w:r>
    </w:p>
    <w:p>
      <w:pPr>
        <w:pStyle w:val="0"/>
        <w:spacing w:before="240" w:lineRule="auto"/>
        <w:ind w:firstLine="540"/>
        <w:jc w:val="both"/>
      </w:pPr>
      <w:r>
        <w:rPr>
          <w:sz w:val="24"/>
        </w:rPr>
        <w:t xml:space="preserve">е) копия сопроводительного письма (копии сопроводительных писем), с которым (которыми) пользователем недр по переоформляемой лицензии на пользование недрами были представлены в федеральный фонд геологической информации или его территориальный фонд, фонд геологической информации субъекта Российской Федерации документы и материалы, содержащие интерпретированную геологическую информацию о недрах, полученную данным пользователем недр при осуществлении работ по геологическому изучению недр, включающему поиски и оценку месторождений полезных ископаемых, на участке недр, предоставленном в пользование по переоформляемой лицензии на пользование недрами, в порядке, установленном в соответствии с </w:t>
      </w:r>
      <w:hyperlink w:history="0" r:id="rId68" w:tooltip="Закон РФ от 21.02.1992 N 2395-1 (ред. от 31.07.2025) &quot;О недрах&quot; {КонсультантПлюс}">
        <w:r>
          <w:rPr>
            <w:sz w:val="24"/>
            <w:color w:val="0000ff"/>
          </w:rPr>
          <w:t xml:space="preserve">частью десятой статьи 27</w:t>
        </w:r>
      </w:hyperlink>
      <w:r>
        <w:rPr>
          <w:sz w:val="24"/>
        </w:rPr>
        <w:t xml:space="preserve"> Закона Российской Федерации "О недрах" (в случае отсутствия реестрового номера (реестровых номеров), указанного (указанных) в </w:t>
      </w:r>
      <w:hyperlink w:history="0" w:anchor="P153" w:tooltip="д) реестровый номер (реестровые номера) документа (документов), содержащего (содержащих) интерпретированную геологическую информацию о недрах, полученную пользователем недр по переоформляемой лицензии на пользование недрами при осуществлении работ по геологическому изучению недр, включающему поиски и оценку месторождений полезных ископаемых, на участке недр, предоставленном в пользование по переоформляемой лицензии на пользование недрами, в федеральной государственной информационной системе &quot;Единый фонд ...">
        <w:r>
          <w:rPr>
            <w:sz w:val="24"/>
            <w:color w:val="0000ff"/>
          </w:rPr>
          <w:t xml:space="preserve">подпункте "д" подпункта 5(1)</w:t>
        </w:r>
      </w:hyperlink>
      <w:r>
        <w:rPr>
          <w:sz w:val="24"/>
        </w:rPr>
        <w:t xml:space="preserve"> настоящего пункта);</w:t>
      </w:r>
    </w:p>
    <w:p>
      <w:pPr>
        <w:pStyle w:val="0"/>
        <w:spacing w:before="240" w:lineRule="auto"/>
        <w:ind w:firstLine="540"/>
        <w:jc w:val="both"/>
      </w:pPr>
      <w:r>
        <w:rPr>
          <w:sz w:val="24"/>
        </w:rPr>
        <w:t xml:space="preserve">ж) копия гражданско-правового договора (копии гражданско-правовых договоров), посредством исполнения которого (которых) совершены передача права пользования участком недр, предоставленным в пользование по переоформляемой лицензии на пользование недрами, в соответствии с </w:t>
      </w:r>
      <w:hyperlink w:history="0" w:anchor="P89" w:tooltip="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
        <w:r>
          <w:rPr>
            <w:sz w:val="24"/>
            <w:color w:val="0000ff"/>
          </w:rPr>
          <w:t xml:space="preserve">подпунктом 7(1) пункта 8</w:t>
        </w:r>
      </w:hyperlink>
      <w:r>
        <w:rPr>
          <w:sz w:val="24"/>
        </w:rPr>
        <w:t xml:space="preserve"> настоящего Порядка, геологической информации о недрах, полученной в процессе пользования таким участком недр (в случае если на дату передачи права пользования таким участком недр в соответствии с </w:t>
      </w:r>
      <w:hyperlink w:history="0" w:anchor="P89" w:tooltip="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
        <w:r>
          <w:rPr>
            <w:sz w:val="24"/>
            <w:color w:val="0000ff"/>
          </w:rPr>
          <w:t xml:space="preserve">подпунктом 7(1) пункта 8</w:t>
        </w:r>
      </w:hyperlink>
      <w:r>
        <w:rPr>
          <w:sz w:val="24"/>
        </w:rPr>
        <w:t xml:space="preserve"> настоящего Порядка пользователь недр по переоформляемой лицензии на пользование недрами является обладателем такой геологической информации о недрах), а также предоставление и (или) передача утвержденной проектной документации на осуществление геологического изучения недр, включающего поиски и оценку месторождений полезных ископаемых, предусмотренной </w:t>
      </w:r>
      <w:hyperlink w:history="0" r:id="rId69" w:tooltip="Закон РФ от 21.02.1992 N 2395-1 (ред. от 31.07.2025) &quot;О недрах&quot; {КонсультантПлюс}">
        <w:r>
          <w:rPr>
            <w:sz w:val="24"/>
            <w:color w:val="0000ff"/>
          </w:rPr>
          <w:t xml:space="preserve">статьей 23.6</w:t>
        </w:r>
      </w:hyperlink>
      <w:r>
        <w:rPr>
          <w:sz w:val="24"/>
        </w:rPr>
        <w:t xml:space="preserve"> Закона Российской Федерации "О недрах", по указанному участку недр от пользователя недр по переоформляемой лицензии на пользование недрами к заявителю;</w:t>
      </w:r>
    </w:p>
    <w:p>
      <w:pPr>
        <w:pStyle w:val="0"/>
        <w:spacing w:before="240" w:lineRule="auto"/>
        <w:ind w:firstLine="540"/>
        <w:jc w:val="both"/>
      </w:pPr>
      <w:r>
        <w:rPr>
          <w:sz w:val="24"/>
        </w:rPr>
        <w:t xml:space="preserve">з) копия документа (копии документов), подтверждающего (подтверждающих) передачу геологической информации о недрах, полученной в процессе пользования участком недр, предоставленным в пользование по переоформляемой лицензии на пользование недрами (в случае если на дату передачи права пользования таким участком недр в соответствии с </w:t>
      </w:r>
      <w:hyperlink w:history="0" w:anchor="P89" w:tooltip="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
        <w:r>
          <w:rPr>
            <w:sz w:val="24"/>
            <w:color w:val="0000ff"/>
          </w:rPr>
          <w:t xml:space="preserve">подпунктом 7(1) пункта 8</w:t>
        </w:r>
      </w:hyperlink>
      <w:r>
        <w:rPr>
          <w:sz w:val="24"/>
        </w:rPr>
        <w:t xml:space="preserve"> настоящего Порядка пользователь недр по переоформляемой лицензии на пользование недрами является обладателем такой геологической информации о недрах), а также предоставление и (или) передачу утвержденной проектной документации на осуществление геологического изучения недр, включающего поиски и оценку месторождений полезных ископаемых, предусмотренной </w:t>
      </w:r>
      <w:hyperlink w:history="0" r:id="rId70" w:tooltip="Закон РФ от 21.02.1992 N 2395-1 (ред. от 31.07.2025) &quot;О недрах&quot; {КонсультантПлюс}">
        <w:r>
          <w:rPr>
            <w:sz w:val="24"/>
            <w:color w:val="0000ff"/>
          </w:rPr>
          <w:t xml:space="preserve">статьей 23.6</w:t>
        </w:r>
      </w:hyperlink>
      <w:r>
        <w:rPr>
          <w:sz w:val="24"/>
        </w:rPr>
        <w:t xml:space="preserve"> Закона Российской Федерации "О недрах", по указанному участку недр от пользователя недр по переоформляемой лицензии на пользование недрами к заявителю;</w:t>
      </w:r>
    </w:p>
    <w:p>
      <w:pPr>
        <w:pStyle w:val="0"/>
        <w:jc w:val="both"/>
      </w:pPr>
      <w:r>
        <w:rPr>
          <w:sz w:val="24"/>
        </w:rPr>
        <w:t xml:space="preserve">(пп. 5(1) введен </w:t>
      </w:r>
      <w:hyperlink w:history="0" r:id="rId71"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spacing w:before="240" w:lineRule="auto"/>
        <w:ind w:firstLine="540"/>
        <w:jc w:val="both"/>
      </w:pPr>
      <w:r>
        <w:rPr>
          <w:sz w:val="24"/>
        </w:rPr>
        <w:t xml:space="preserve">6) в случае переоформления лицензий на пользование недрами по основанию, предусмотренному </w:t>
      </w:r>
      <w:hyperlink w:history="0" w:anchor="P91" w:tooltip="8) приобретение субъектом предпринимательской деятельности в порядке, предусмотренном Федеральным законом от 26 октября 2002 г. N 127-ФЗ &quot;О несостоятельности (банкротстве)&quot; (Собрание законодательства Российской Федерации, 2002, N 43, ст. 4190; 2021, N 27, ст. 5181) (далее - Федеральный закон &quot;О несостоятельности (банкротстве)&quot;),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
        <w:r>
          <w:rPr>
            <w:sz w:val="24"/>
            <w:color w:val="0000ff"/>
          </w:rPr>
          <w:t xml:space="preserve">подпунктом 8 пункта 8</w:t>
        </w:r>
      </w:hyperlink>
      <w:r>
        <w:rPr>
          <w:sz w:val="24"/>
        </w:rPr>
        <w:t xml:space="preserve"> настоящего Порядка:</w:t>
      </w:r>
    </w:p>
    <w:bookmarkStart w:id="159" w:name="P159"/>
    <w:bookmarkEnd w:id="159"/>
    <w:p>
      <w:pPr>
        <w:pStyle w:val="0"/>
        <w:spacing w:before="240" w:lineRule="auto"/>
        <w:ind w:firstLine="540"/>
        <w:jc w:val="both"/>
      </w:pPr>
      <w:r>
        <w:rPr>
          <w:sz w:val="24"/>
        </w:rPr>
        <w:t xml:space="preserve">а) согласие пользователя недр в простой письменной форме по переоформляемой лицензии на пользование недрами на ее переоформление, подписанное конкурсным управляющим, утвержденным в деле о банкротстве юридического лица -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финансовым управляющим, утвержденным в деле о банкротстве индивидуального предпринимателя -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p>
      <w:pPr>
        <w:pStyle w:val="0"/>
        <w:spacing w:before="240" w:lineRule="auto"/>
        <w:ind w:firstLine="540"/>
        <w:jc w:val="both"/>
      </w:pPr>
      <w:r>
        <w:rPr>
          <w:sz w:val="24"/>
        </w:rPr>
        <w:t xml:space="preserve">б) копия решения общего собрания кредиторов или комитета кредиторов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о согласии на ее переоформление;</w:t>
      </w:r>
    </w:p>
    <w:bookmarkStart w:id="161" w:name="P161"/>
    <w:bookmarkEnd w:id="161"/>
    <w:p>
      <w:pPr>
        <w:pStyle w:val="0"/>
        <w:spacing w:before="240" w:lineRule="auto"/>
        <w:ind w:firstLine="540"/>
        <w:jc w:val="both"/>
      </w:pPr>
      <w:r>
        <w:rPr>
          <w:sz w:val="24"/>
        </w:rPr>
        <w:t xml:space="preserve">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w:t>
      </w:r>
      <w:hyperlink w:history="0" w:anchor="P177" w:tooltip="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пунктами 16</w:t>
        </w:r>
      </w:hyperlink>
      <w:r>
        <w:rPr>
          <w:sz w:val="24"/>
        </w:rPr>
        <w:t xml:space="preserve"> и </w:t>
      </w:r>
      <w:hyperlink w:history="0" w:anchor="P184"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17</w:t>
        </w:r>
      </w:hyperlink>
      <w:r>
        <w:rPr>
          <w:sz w:val="24"/>
        </w:rPr>
        <w:t xml:space="preserve"> настоящего Порядка;</w:t>
      </w:r>
    </w:p>
    <w:bookmarkStart w:id="162" w:name="P162"/>
    <w:bookmarkEnd w:id="162"/>
    <w:p>
      <w:pPr>
        <w:pStyle w:val="0"/>
        <w:spacing w:before="240" w:lineRule="auto"/>
        <w:ind w:firstLine="540"/>
        <w:jc w:val="both"/>
      </w:pPr>
      <w:r>
        <w:rPr>
          <w:sz w:val="24"/>
        </w:rPr>
        <w:t xml:space="preserve">г) копия определения суда об утверждении конкурсного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w:t>
      </w:r>
    </w:p>
    <w:bookmarkStart w:id="163" w:name="P163"/>
    <w:bookmarkEnd w:id="163"/>
    <w:p>
      <w:pPr>
        <w:pStyle w:val="0"/>
        <w:spacing w:before="240" w:lineRule="auto"/>
        <w:ind w:firstLine="540"/>
        <w:jc w:val="both"/>
      </w:pPr>
      <w:r>
        <w:rPr>
          <w:sz w:val="24"/>
        </w:rPr>
        <w:t xml:space="preserve">д) сведения о результатах инвентаризации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сведения об отчете об оценке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(в отношении пользователей недр по переоформляемой лицензии на пользование недрами - юридических лиц);</w:t>
      </w:r>
    </w:p>
    <w:bookmarkStart w:id="164" w:name="P164"/>
    <w:bookmarkEnd w:id="164"/>
    <w:p>
      <w:pPr>
        <w:pStyle w:val="0"/>
        <w:spacing w:before="240" w:lineRule="auto"/>
        <w:ind w:firstLine="540"/>
        <w:jc w:val="both"/>
      </w:pPr>
      <w:r>
        <w:rPr>
          <w:sz w:val="24"/>
        </w:rPr>
        <w:t xml:space="preserve">е) копии документов (договоров и (или) актов приема-передачи), подтверждающих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находящегося в границах участка недр и (или) связанного с осуществлением пользования недрами на участке недр, предоставленном в пользование по переоформляемой лицензии на пользование недрами;</w:t>
      </w:r>
    </w:p>
    <w:p>
      <w:pPr>
        <w:pStyle w:val="0"/>
        <w:spacing w:before="240" w:lineRule="auto"/>
        <w:ind w:firstLine="540"/>
        <w:jc w:val="both"/>
      </w:pPr>
      <w:r>
        <w:rPr>
          <w:sz w:val="24"/>
        </w:rPr>
        <w:t xml:space="preserve">ж) перечень объектов недвижимости, входящих в состав приобретенного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с указанием кадастровых номеров объектов недвижимости и даты их присвоения, описания местоположения объектов недвижимости, степени готовности объектов незавершенного строительства в процентах (для объектов незавершенного строительства), вид вещного права (при наличии), номер регистрации и дата государственной регистрации такого права в реестре прав, ограничений прав и обременений недвижимого имущества (при наличии), сведения об основаниях перехода права на объект недвижимости к заявителю (в случае приобретения заявителем таких объектов недвижимости);</w:t>
      </w:r>
    </w:p>
    <w:p>
      <w:pPr>
        <w:pStyle w:val="0"/>
        <w:spacing w:before="240" w:lineRule="auto"/>
        <w:ind w:firstLine="540"/>
        <w:jc w:val="both"/>
      </w:pPr>
      <w:r>
        <w:rPr>
          <w:sz w:val="24"/>
        </w:rPr>
        <w:t xml:space="preserve">з) копия акта приема-передачи геологической информации о недрах по участку недр, предоставленному в пользование по переоформляемой лицензии на пользование недрами, обладателем которой является пользователь недр по переоформляемой лицензии на пользование недрами, от пользователя недр по переоформляемой лицензии на пользование недрами к заявителю;</w:t>
      </w:r>
    </w:p>
    <w:bookmarkStart w:id="167" w:name="P167"/>
    <w:bookmarkEnd w:id="167"/>
    <w:p>
      <w:pPr>
        <w:pStyle w:val="0"/>
        <w:spacing w:before="240" w:lineRule="auto"/>
        <w:ind w:firstLine="540"/>
        <w:jc w:val="both"/>
      </w:pPr>
      <w:r>
        <w:rPr>
          <w:sz w:val="24"/>
        </w:rPr>
        <w:t xml:space="preserve">и)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w:t>
      </w:r>
      <w:hyperlink w:history="0" r:id="rId72" w:tooltip="Закон РФ от 21.02.1992 N 2395-1 (ред. от 31.07.2025) &quot;О недрах&quot; {КонсультантПлюс}">
        <w:r>
          <w:rPr>
            <w:sz w:val="24"/>
            <w:color w:val="0000ff"/>
          </w:rPr>
          <w:t xml:space="preserve">статьей 36.1</w:t>
        </w:r>
      </w:hyperlink>
      <w:r>
        <w:rPr>
          <w:sz w:val="24"/>
        </w:rPr>
        <w:t xml:space="preserve"> Закона Российской Федерации "О недрах"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history="0" r:id="rId73"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(при наличии), по участку недр, предоставленному в пользование по переоформляемой лицензии на пользование недрами, от пользователя недр по переоформляемой лицензии на пользование недрами к заявителю;</w:t>
      </w:r>
    </w:p>
    <w:bookmarkStart w:id="168" w:name="P168"/>
    <w:bookmarkEnd w:id="168"/>
    <w:p>
      <w:pPr>
        <w:pStyle w:val="0"/>
        <w:spacing w:before="240" w:lineRule="auto"/>
        <w:ind w:firstLine="540"/>
        <w:jc w:val="both"/>
      </w:pPr>
      <w:r>
        <w:rPr>
          <w:sz w:val="24"/>
        </w:rPr>
        <w:t xml:space="preserve">7) в случае переоформления лицензий на пользование недрами по основанию, предусмотренному </w:t>
      </w:r>
      <w:hyperlink w:history="0" w:anchor="P92" w:tooltip="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 N 416-ФЗ &quot;О водоснабжении и водоотведении&quot; (Собрание законодательства Российской Федерации, 2011, N 50, ст. 7358; 2021, N 27, ст. 5180) (далее - Федеральный закон &quot;О водоснабжении и водоотведении&quot;);">
        <w:r>
          <w:rPr>
            <w:sz w:val="24"/>
            <w:color w:val="0000ff"/>
          </w:rPr>
          <w:t xml:space="preserve">подпунктом 9 пункта 8</w:t>
        </w:r>
      </w:hyperlink>
      <w:r>
        <w:rPr>
          <w:sz w:val="24"/>
        </w:rPr>
        <w:t xml:space="preserve"> настоящего Порядка:</w:t>
      </w:r>
    </w:p>
    <w:p>
      <w:pPr>
        <w:pStyle w:val="0"/>
        <w:spacing w:before="240" w:lineRule="auto"/>
        <w:ind w:firstLine="540"/>
        <w:jc w:val="both"/>
      </w:pPr>
      <w:r>
        <w:rPr>
          <w:sz w:val="24"/>
        </w:rP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w:history="0" r:id="rId7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действует заявитель;</w:t>
      </w:r>
    </w:p>
    <w:p>
      <w:pPr>
        <w:pStyle w:val="0"/>
        <w:spacing w:before="240" w:lineRule="auto"/>
        <w:ind w:firstLine="540"/>
        <w:jc w:val="both"/>
      </w:pPr>
      <w:r>
        <w:rPr>
          <w:sz w:val="24"/>
        </w:rPr>
        <w:t xml:space="preserve">б) копия заключенного с заявителем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w:history="0" r:id="rId75"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 водоснабжении и водоотведении";</w:t>
      </w:r>
    </w:p>
    <w:bookmarkStart w:id="171" w:name="P171"/>
    <w:bookmarkEnd w:id="171"/>
    <w:p>
      <w:pPr>
        <w:pStyle w:val="0"/>
        <w:spacing w:before="240" w:lineRule="auto"/>
        <w:ind w:firstLine="540"/>
        <w:jc w:val="both"/>
      </w:pPr>
      <w:r>
        <w:rPr>
          <w:sz w:val="24"/>
        </w:rPr>
        <w:t xml:space="preserve">8) в случае переоформления лицензий на пользование недрами по основанию, предусмотренному </w:t>
      </w:r>
      <w:hyperlink w:history="0" w:anchor="P93" w:tooltip="10) передача права пользования участком недр, предоставленным субъекту предпринимательской деятельности на основании соглашения о разделе продукции в соответствии с Федеральным законом от 30 декабря 1995 г. N 225-ФЗ &quot;О соглашениях о разделе продукции&quot; (Собрание законодательства Российской Федерации, 1996, N 1, ст. 18; 2020, N 50, ст. 8074) (далее - Федеральный закон &quot;О соглашениях о разделе продукции&quot;).">
        <w:r>
          <w:rPr>
            <w:sz w:val="24"/>
            <w:color w:val="0000ff"/>
          </w:rPr>
          <w:t xml:space="preserve">подпунктом 10 пункта 8</w:t>
        </w:r>
      </w:hyperlink>
      <w:r>
        <w:rPr>
          <w:sz w:val="24"/>
        </w:rPr>
        <w:t xml:space="preserve"> настоящего Порядка:</w:t>
      </w:r>
    </w:p>
    <w:p>
      <w:pPr>
        <w:pStyle w:val="0"/>
        <w:spacing w:before="240" w:lineRule="auto"/>
        <w:ind w:firstLine="540"/>
        <w:jc w:val="both"/>
      </w:pPr>
      <w:r>
        <w:rPr>
          <w:sz w:val="24"/>
        </w:rPr>
        <w:t xml:space="preserve">а)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w:t>
      </w:r>
      <w:hyperlink w:history="0" r:id="rId7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2 статьи 52</w:t>
        </w:r>
      </w:hyperlink>
      <w:r>
        <w:rPr>
          <w:sz w:val="24"/>
        </w:rPr>
        <w:t xml:space="preserve"> Гражданского кодекса Российской Федерации, - сведения о номере типового устава, на основании которого действует заявитель;</w:t>
      </w:r>
    </w:p>
    <w:p>
      <w:pPr>
        <w:pStyle w:val="0"/>
        <w:spacing w:before="240" w:lineRule="auto"/>
        <w:ind w:firstLine="540"/>
        <w:jc w:val="both"/>
      </w:pPr>
      <w:r>
        <w:rPr>
          <w:sz w:val="24"/>
        </w:rPr>
        <w:t xml:space="preserve">б) реквизиты соглашения о разделе продукции, на основании которого пользователю недр по переоформляемой лицензии на пользование недрами предоставлено право пользования участком недр в соответствии с Федеральным </w:t>
      </w:r>
      <w:hyperlink w:history="0" r:id="rId77" w:tooltip="Федеральный закон от 30.12.1995 N 225-ФЗ (ред. от 08.12.2020) &quot;О соглашениях о разделе продукции&quot; {КонсультантПлюс}">
        <w:r>
          <w:rPr>
            <w:sz w:val="24"/>
            <w:color w:val="0000ff"/>
          </w:rPr>
          <w:t xml:space="preserve">законом</w:t>
        </w:r>
      </w:hyperlink>
      <w:r>
        <w:rPr>
          <w:sz w:val="24"/>
        </w:rPr>
        <w:t xml:space="preserve"> "О соглашениях о разделе продукции";</w:t>
      </w:r>
    </w:p>
    <w:p>
      <w:pPr>
        <w:pStyle w:val="0"/>
        <w:spacing w:before="240" w:lineRule="auto"/>
        <w:ind w:firstLine="540"/>
        <w:jc w:val="both"/>
      </w:pPr>
      <w:r>
        <w:rPr>
          <w:sz w:val="24"/>
        </w:rPr>
        <w:t xml:space="preserve">в) реквизиты специального акта, являющегося неотъемлемой частью соглашения о разделе продукции, посредством составления которого в соответствии с </w:t>
      </w:r>
      <w:hyperlink w:history="0" r:id="rId78" w:tooltip="Федеральный закон от 30.12.1995 N 225-ФЗ (ред. от 08.12.2020) &quot;О соглашениях о разделе продукции&quot; {КонсультантПлюс}">
        <w:r>
          <w:rPr>
            <w:sz w:val="24"/>
            <w:color w:val="0000ff"/>
          </w:rPr>
          <w:t xml:space="preserve">пунктом 2 статьи 16</w:t>
        </w:r>
      </w:hyperlink>
      <w:r>
        <w:rPr>
          <w:sz w:val="24"/>
        </w:rPr>
        <w:t xml:space="preserve"> Федерального закона "О соглашениях о разделе продукции" (Собрание законодательства Российской Федерации, 1996, N 1, ст. 18) совершена передача прав и обязанностей по соглашению о разделе продукции.</w:t>
      </w:r>
    </w:p>
    <w:p>
      <w:pPr>
        <w:pStyle w:val="0"/>
        <w:spacing w:before="240" w:lineRule="auto"/>
        <w:ind w:firstLine="540"/>
        <w:jc w:val="both"/>
      </w:pPr>
      <w:r>
        <w:rPr>
          <w:sz w:val="24"/>
        </w:rPr>
        <w:t xml:space="preserve">В случае если в соответствии со </w:t>
      </w:r>
      <w:hyperlink w:history="0" r:id="rId7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57</w:t>
        </w:r>
      </w:hyperlink>
      <w:r>
        <w:rPr>
          <w:sz w:val="24"/>
        </w:rPr>
        <w:t xml:space="preserve"> Гражданского кодекса Российской Федерации реорганизация юридического лица - пользователя недр осуществлена с одновременным сочетанием ее различных форм, к заявке, помимо документов и сведений, предусмотренных </w:t>
      </w:r>
      <w:hyperlink w:history="0" w:anchor="P107" w:tooltip="13. К заявке прилагаются следующие документы и сведения:">
        <w:r>
          <w:rPr>
            <w:sz w:val="24"/>
            <w:color w:val="0000ff"/>
          </w:rPr>
          <w:t xml:space="preserve">пунктом 13</w:t>
        </w:r>
      </w:hyperlink>
      <w:r>
        <w:rPr>
          <w:sz w:val="24"/>
        </w:rPr>
        <w:t xml:space="preserve"> настоящего Порядка, прилагаются документы и сведения, указанные в </w:t>
      </w:r>
      <w:hyperlink w:history="0" w:anchor="P114" w:tooltip="1) в случае переоформления лицензий на пользование недрами по основанию, предусмотренному подпунктом 1 пункта 8 настоящего Порядка, -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пунктом 2 статьи 52 Гражданского кодекса Российской Федерации (Собрание законодательства Российской Федерации, 1994, N 32, ст. 3301; 2015, N 27, ст. 4000), - сведения о н...">
        <w:r>
          <w:rPr>
            <w:sz w:val="24"/>
            <w:color w:val="0000ff"/>
          </w:rPr>
          <w:t xml:space="preserve">подпунктах 1</w:t>
        </w:r>
      </w:hyperlink>
      <w:r>
        <w:rPr>
          <w:sz w:val="24"/>
        </w:rPr>
        <w:t xml:space="preserve"> - </w:t>
      </w:r>
      <w:hyperlink w:history="0" w:anchor="P118" w:tooltip="3) в случае переоформления лицензий на пользование недрами по основаниям, предусмотренным подпунктами 4 и 5 пункта 8 настоящего Порядка:">
        <w:r>
          <w:rPr>
            <w:sz w:val="24"/>
            <w:color w:val="0000ff"/>
          </w:rPr>
          <w:t xml:space="preserve">3</w:t>
        </w:r>
      </w:hyperlink>
      <w:r>
        <w:rPr>
          <w:sz w:val="24"/>
        </w:rPr>
        <w:t xml:space="preserve"> настоящего пункта, в зависимости от соответствующих оснований переоформления лицензий на пользование недрами, предусмотренных </w:t>
      </w:r>
      <w:hyperlink w:history="0" w:anchor="P81"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лицензия на пользование недрами подлежит переоформлению в случае перехода права пользования участком недр по следующим основаниям:">
        <w:r>
          <w:rPr>
            <w:sz w:val="24"/>
            <w:color w:val="0000ff"/>
          </w:rPr>
          <w:t xml:space="preserve">пунктом 8</w:t>
        </w:r>
      </w:hyperlink>
      <w:r>
        <w:rPr>
          <w:sz w:val="24"/>
        </w:rPr>
        <w:t xml:space="preserve"> настоящего Порядка.</w:t>
      </w:r>
    </w:p>
    <w:bookmarkStart w:id="176" w:name="P176"/>
    <w:bookmarkEnd w:id="176"/>
    <w:p>
      <w:pPr>
        <w:pStyle w:val="0"/>
        <w:spacing w:before="240" w:lineRule="auto"/>
        <w:ind w:firstLine="540"/>
        <w:jc w:val="both"/>
      </w:pPr>
      <w:r>
        <w:rPr>
          <w:sz w:val="24"/>
        </w:rPr>
        <w:t xml:space="preserve">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переоформляемой лицензии на пользование недрами без доверенности (далее - руководитель пользователя недр по переоформляемой лицензии). В случае если от имени пользователя недр по переоформляемой лицензии на пользование недрами без доверенности действует иное лицо, заявка должна содержать также подлинник доверенности на осуществление действий от имени пользователя недр по переоформляемой лицензии на пользование недрами, заверенный печатью пользователя недр по переоформляемой лицензии на пользование недрами (при наличии) и подписанный руководителем пользователя недр по переоформляемой лицензии на пользование недрами (для юридического лица) или иным уполномоченным руководителем пользователя недр по переоформляемой лицензии лицом. В случае если указанная доверенность подписана лицом, уполномоченным руководителем пользователя недр по переоформляемой лицензии, заявка должна содержать также документ, подтверждающий полномочия этого лица.</w:t>
      </w:r>
    </w:p>
    <w:bookmarkStart w:id="177" w:name="P177"/>
    <w:bookmarkEnd w:id="177"/>
    <w:p>
      <w:pPr>
        <w:pStyle w:val="0"/>
        <w:spacing w:before="240" w:lineRule="auto"/>
        <w:ind w:firstLine="540"/>
        <w:jc w:val="both"/>
      </w:pPr>
      <w:r>
        <w:rPr>
          <w:sz w:val="24"/>
        </w:rPr>
        <w:t xml:space="preserve">16. В составе документов, содержащих данные о финансовых возможностях заявителя, необходимых для эффективного и безопасного проведения работ на испрашиваемом участке недр, представляются: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1 п. 16 не применяется к заявителям, добывшим в 2024 г. не менее 10 млн т нефти обезвоженной, обессоленной и стабилизированной (</w:t>
            </w:r>
            <w:hyperlink w:history="0" r:id="rId80"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N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81"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Российской Федерации не ведется);</w:t>
      </w:r>
    </w:p>
    <w:p>
      <w:pPr>
        <w:pStyle w:val="0"/>
        <w:spacing w:before="240" w:lineRule="auto"/>
        <w:ind w:firstLine="540"/>
        <w:jc w:val="both"/>
      </w:pPr>
      <w:r>
        <w:rPr>
          <w:sz w:val="24"/>
        </w:rPr>
        <w:t xml:space="preserve">2)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3)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8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4)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w:history="0" r:id="rId8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привлечения финансовых средств по договорам кредита).</w:t>
      </w:r>
    </w:p>
    <w:bookmarkStart w:id="184" w:name="P184"/>
    <w:bookmarkEnd w:id="184"/>
    <w:p>
      <w:pPr>
        <w:pStyle w:val="0"/>
        <w:spacing w:before="240" w:lineRule="auto"/>
        <w:ind w:firstLine="540"/>
        <w:jc w:val="both"/>
      </w:pPr>
      <w:r>
        <w:rPr>
          <w:sz w:val="24"/>
        </w:rPr>
        <w:t xml:space="preserve">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w:t>
      </w:r>
    </w:p>
    <w:p>
      <w:pPr>
        <w:pStyle w:val="0"/>
        <w:spacing w:before="240" w:lineRule="auto"/>
        <w:ind w:firstLine="540"/>
        <w:jc w:val="both"/>
      </w:pPr>
      <w:r>
        <w:rPr>
          <w:sz w:val="24"/>
        </w:rPr>
        <w:t xml:space="preserve">1)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участком недр.</w:t>
      </w:r>
    </w:p>
    <w:p>
      <w:pPr>
        <w:pStyle w:val="0"/>
        <w:spacing w:before="240" w:lineRule="auto"/>
        <w:ind w:firstLine="540"/>
        <w:jc w:val="both"/>
      </w:pPr>
      <w:r>
        <w:rPr>
          <w:sz w:val="24"/>
        </w:rPr>
        <w:t xml:space="preserve">2)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регистра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w:t>
      </w:r>
    </w:p>
    <w:p>
      <w:pPr>
        <w:pStyle w:val="0"/>
        <w:spacing w:before="240" w:lineRule="auto"/>
        <w:ind w:firstLine="540"/>
        <w:jc w:val="both"/>
      </w:pPr>
      <w:r>
        <w:rPr>
          <w:sz w:val="24"/>
        </w:rPr>
        <w:t xml:space="preserve">В перечне технических средств заявителя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участком недр.</w:t>
      </w:r>
    </w:p>
    <w:p>
      <w:pPr>
        <w:pStyle w:val="0"/>
        <w:spacing w:before="240" w:lineRule="auto"/>
        <w:ind w:firstLine="540"/>
        <w:jc w:val="both"/>
      </w:pPr>
      <w:r>
        <w:rPr>
          <w:sz w:val="24"/>
        </w:rPr>
        <w:t xml:space="preserve">3) копии договоров с юридическими и (или) физическими лицами, привлекаемыми для осуществления пользования участком недр, в том числе заключенных под отлагательным условием в соответствии со </w:t>
      </w:r>
      <w:hyperlink w:history="0" r:id="rId8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 (или) физических лиц);</w:t>
      </w:r>
    </w:p>
    <w:p>
      <w:pPr>
        <w:pStyle w:val="0"/>
        <w:spacing w:before="240" w:lineRule="auto"/>
        <w:ind w:firstLine="540"/>
        <w:jc w:val="both"/>
      </w:pPr>
      <w:r>
        <w:rPr>
          <w:sz w:val="24"/>
        </w:rPr>
        <w:t xml:space="preserve">4)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85"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bookmarkStart w:id="192" w:name="P192"/>
    <w:bookmarkEnd w:id="192"/>
    <w:p>
      <w:pPr>
        <w:pStyle w:val="0"/>
        <w:spacing w:before="240" w:lineRule="auto"/>
        <w:ind w:firstLine="540"/>
        <w:jc w:val="both"/>
      </w:pPr>
      <w:r>
        <w:rPr>
          <w:sz w:val="24"/>
        </w:rPr>
        <w:t xml:space="preserve">18. Для переоформления лицензии на пользование участком недр федерального значения заявитель представляет справку о наличии (отсутствии) обстоятельств, при которых переход права пользования участком недр федерального значения запрещается в соответствии с </w:t>
      </w:r>
      <w:hyperlink w:history="0" r:id="rId86"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подписанную руководителем заявителя или иным уполномоченным руководителем заявителя лицом.</w:t>
      </w:r>
    </w:p>
    <w:bookmarkStart w:id="193" w:name="P193"/>
    <w:bookmarkEnd w:id="193"/>
    <w:p>
      <w:pPr>
        <w:pStyle w:val="0"/>
        <w:spacing w:before="240" w:lineRule="auto"/>
        <w:ind w:firstLine="540"/>
        <w:jc w:val="both"/>
      </w:pPr>
      <w:r>
        <w:rPr>
          <w:sz w:val="24"/>
        </w:rPr>
        <w:t xml:space="preserve">19. В случае наличия обстоятельств, при которых переход права пользования участком недр федерального значения запрещается в соответствии с </w:t>
      </w:r>
      <w:hyperlink w:history="0" r:id="rId87"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 заявитель представляет документы, предусмотренные </w:t>
      </w:r>
      <w:hyperlink w:history="0" r:id="rId8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статьей 8</w:t>
        </w:r>
      </w:hyperlink>
      <w:r>
        <w:rPr>
          <w:sz w:val="24"/>
        </w:rPr>
        <w:t xml:space="preserve"> Федерального закона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2021, N 27, ст. 5180)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соответствии с </w:t>
      </w:r>
      <w:hyperlink w:history="0" r:id="rId89" w:tooltip="Постановление Правительства РФ от 17.10.2009 N 838 (ред. от 29.04.2023) &quot;Об утверждении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quot; {КонсультантПлюс}">
        <w:r>
          <w:rPr>
            <w:sz w:val="24"/>
            <w:color w:val="0000ff"/>
          </w:rPr>
          <w:t xml:space="preserve">Правилами</w:t>
        </w:r>
      </w:hyperlink>
      <w:r>
        <w:rPr>
          <w:sz w:val="24"/>
        </w:rPr>
        <w:t xml:space="preserve">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 утвержденными постановлением Правительства Российской Федерации от 17 октября 2009 г. N 838 (Собрание законодательства Российской Федерации, 2009, N 43, ст. 5087; 2021, N 40, ст. 6816), либо представляет реквизиты документа, подтверждающего их направление в Федеральную антимонопольную службу.</w:t>
      </w:r>
    </w:p>
    <w:p>
      <w:pPr>
        <w:pStyle w:val="0"/>
        <w:spacing w:before="240" w:lineRule="auto"/>
        <w:ind w:firstLine="540"/>
        <w:jc w:val="both"/>
      </w:pPr>
      <w:r>
        <w:rPr>
          <w:sz w:val="24"/>
        </w:rPr>
        <w:t xml:space="preserve">20. Заявка и прилагаемые к ней документы и сведения, указанные в </w:t>
      </w:r>
      <w:hyperlink w:history="0" w:anchor="P101" w:tooltip="12. Заявка должна содержать:">
        <w:r>
          <w:rPr>
            <w:sz w:val="24"/>
            <w:color w:val="0000ff"/>
          </w:rPr>
          <w:t xml:space="preserve">пунктах 12</w:t>
        </w:r>
      </w:hyperlink>
      <w:r>
        <w:rPr>
          <w:sz w:val="24"/>
        </w:rPr>
        <w:t xml:space="preserve"> - </w:t>
      </w:r>
      <w:hyperlink w:history="0" w:anchor="P193"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й 8 Федерального закона от 29 апреля 2008 г.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обрание законодательства Росс...">
        <w:r>
          <w:rPr>
            <w:sz w:val="24"/>
            <w:color w:val="0000ff"/>
          </w:rPr>
          <w:t xml:space="preserve">19</w:t>
        </w:r>
      </w:hyperlink>
      <w:r>
        <w:rPr>
          <w:sz w:val="24"/>
        </w:rPr>
        <w:t xml:space="preserve"> настоящего Порядка, представляются в ФГКУ "Росгеолэкспертиза".</w:t>
      </w:r>
    </w:p>
    <w:p>
      <w:pPr>
        <w:pStyle w:val="0"/>
        <w:spacing w:before="240" w:lineRule="auto"/>
        <w:ind w:firstLine="540"/>
        <w:jc w:val="both"/>
      </w:pPr>
      <w:r>
        <w:rPr>
          <w:sz w:val="24"/>
        </w:rPr>
        <w:t xml:space="preserve">21. Заявка и прилагаемые к ней документы и сведения подаются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bookmarkStart w:id="196" w:name="P196"/>
    <w:bookmarkEnd w:id="196"/>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представляются в форме электронных документов, подписанных электронной подписью в соответствии с требованиями Федерального </w:t>
      </w:r>
      <w:hyperlink w:history="0" r:id="rId90"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bookmarkStart w:id="197" w:name="P197"/>
    <w:bookmarkEnd w:id="197"/>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в форме электронных документов, подписанных электронной подписью в соответствии с требованиями Федерального </w:t>
      </w:r>
      <w:hyperlink w:history="0" r:id="rId9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92"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bookmarkStart w:id="199" w:name="P199"/>
    <w:bookmarkEnd w:id="199"/>
    <w:p>
      <w:pPr>
        <w:pStyle w:val="0"/>
        <w:spacing w:before="240" w:lineRule="auto"/>
        <w:ind w:firstLine="540"/>
        <w:jc w:val="both"/>
      </w:pPr>
      <w:r>
        <w:rPr>
          <w:sz w:val="24"/>
        </w:rPr>
        <w:t xml:space="preserve">22. В соответствии с </w:t>
      </w:r>
      <w:hyperlink w:history="0" r:id="rId93" w:tooltip="Закон РФ от 21.02.1992 N 2395-1 (ред. от 31.07.2025) &quot;О недрах&quot; {КонсультантПлюс}">
        <w:r>
          <w:rPr>
            <w:sz w:val="24"/>
            <w:color w:val="0000ff"/>
          </w:rPr>
          <w:t xml:space="preserve">частью пятнадцатой статьи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заявка подается заявителем не позднее 6 месяцев до окончания срока действия лицензии на пользование недрами.</w:t>
      </w:r>
    </w:p>
    <w:bookmarkStart w:id="200" w:name="P200"/>
    <w:bookmarkEnd w:id="200"/>
    <w:p>
      <w:pPr>
        <w:pStyle w:val="0"/>
        <w:spacing w:before="240" w:lineRule="auto"/>
        <w:ind w:firstLine="540"/>
        <w:jc w:val="both"/>
      </w:pPr>
      <w:r>
        <w:rPr>
          <w:sz w:val="24"/>
        </w:rPr>
        <w:t xml:space="preserve">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w:t>
      </w:r>
      <w:hyperlink w:history="0" r:id="rId94"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четвертым подпункта 92 пункта 1 статьи 333.33</w:t>
        </w:r>
      </w:hyperlink>
      <w:r>
        <w:rPr>
          <w:sz w:val="24"/>
        </w:rPr>
        <w:t xml:space="preserve"> Налогового кодекса Российской Федерации,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bookmarkStart w:id="201" w:name="P201"/>
    <w:bookmarkEnd w:id="201"/>
    <w:p>
      <w:pPr>
        <w:pStyle w:val="0"/>
        <w:spacing w:before="240" w:lineRule="auto"/>
        <w:ind w:firstLine="540"/>
        <w:jc w:val="both"/>
      </w:pPr>
      <w:r>
        <w:rPr>
          <w:sz w:val="24"/>
        </w:rPr>
        <w:t xml:space="preserve">24. Поступившая заявка регистрируется ФГКУ "Росгеолэкспертиза" в день ее поступления. При регистрации заявки ей присваивается регистрационный номер, а также указываются дата и местное время (час и минуты) ее поступления.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bookmarkStart w:id="202" w:name="P202"/>
    <w:bookmarkEnd w:id="202"/>
    <w:p>
      <w:pPr>
        <w:pStyle w:val="0"/>
        <w:spacing w:before="240" w:lineRule="auto"/>
        <w:ind w:firstLine="540"/>
        <w:jc w:val="both"/>
      </w:pPr>
      <w:r>
        <w:rPr>
          <w:sz w:val="24"/>
        </w:rPr>
        <w:t xml:space="preserve">ФГКУ "Росгеолэкспертиза" обеспечивает размещение заявки и прилагаемых к ней документов и сведений в федеральной государственной информационной системе "Автоматизированная система лицензирования недропользования" не позднее 5 рабочих дней с даты регистрации заявки.</w:t>
      </w:r>
    </w:p>
    <w:bookmarkStart w:id="203" w:name="P203"/>
    <w:bookmarkEnd w:id="203"/>
    <w:p>
      <w:pPr>
        <w:pStyle w:val="0"/>
        <w:spacing w:before="240" w:lineRule="auto"/>
        <w:ind w:firstLine="540"/>
        <w:jc w:val="both"/>
      </w:pPr>
      <w:r>
        <w:rPr>
          <w:sz w:val="24"/>
        </w:rPr>
        <w:t xml:space="preserve">25. ФГКУ "Росгеолэкспертиза" в срок, не превышающий 5 рабочих дней с даты регистрации заявки, проверяет содержание представленной заявки на предмет соответствия описи входящих в ее состав документов и сведений, наличия в ее составе документов и сведений, предусмотренных </w:t>
      </w:r>
      <w:hyperlink w:history="0" w:anchor="P108" w:tooltip="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
        <w:r>
          <w:rPr>
            <w:sz w:val="24"/>
            <w:color w:val="0000ff"/>
          </w:rPr>
          <w:t xml:space="preserve">подпунктами 1</w:t>
        </w:r>
      </w:hyperlink>
      <w:r>
        <w:rPr>
          <w:sz w:val="24"/>
        </w:rPr>
        <w:t xml:space="preserve">, </w:t>
      </w:r>
      <w:hyperlink w:history="0" w:anchor="P109" w:tooltip="2) перечень лиц, входящих в одну группу с заявителем, по форме представления перечня лиц, входящих в одну группу лиц, утвержденной приказом Федеральной антимонопольной службы от 20 ноября 2006 г. N 293 (зарегистрирован Минюстом России 4 декабря 2006 г., регистрационный N 8552), с изменениями, внесенными приказами Федеральной антимонопольной службы от 12 декабря 2007 г. N 424 (зарегистрирован Минюстом России 29 декабря 2007 г., регистрационный N 10854), от 24 ноября 2008 г. N 497 (зарегистрирован Минюстом...">
        <w:r>
          <w:rPr>
            <w:sz w:val="24"/>
            <w:color w:val="0000ff"/>
          </w:rPr>
          <w:t xml:space="preserve">2</w:t>
        </w:r>
      </w:hyperlink>
      <w:r>
        <w:rPr>
          <w:sz w:val="24"/>
        </w:rPr>
        <w:t xml:space="preserve">, </w:t>
      </w:r>
      <w:hyperlink w:history="0" w:anchor="P111" w:tooltip="4) документы, предусмотренные пунктом 14 настоящего Порядка, в зависимости от конкретного основания переоформления лицензии на пользование недрами;">
        <w:r>
          <w:rPr>
            <w:sz w:val="24"/>
            <w:color w:val="0000ff"/>
          </w:rPr>
          <w:t xml:space="preserve">4</w:t>
        </w:r>
      </w:hyperlink>
      <w:r>
        <w:rPr>
          <w:sz w:val="24"/>
        </w:rPr>
        <w:t xml:space="preserve">, </w:t>
      </w:r>
      <w:hyperlink w:history="0" w:anchor="P112" w:tooltip="5) документы, предусмотренные пунктами 18 и 19 настоящего Порядка (при переоформлении лицензий на пользование участком недр федерального значения).">
        <w:r>
          <w:rPr>
            <w:sz w:val="24"/>
            <w:color w:val="0000ff"/>
          </w:rPr>
          <w:t xml:space="preserve">5 пункта 13</w:t>
        </w:r>
      </w:hyperlink>
      <w:r>
        <w:rPr>
          <w:sz w:val="24"/>
        </w:rPr>
        <w:t xml:space="preserve">, </w:t>
      </w:r>
      <w:hyperlink w:history="0" w:anchor="P114" w:tooltip="1) в случае переоформления лицензий на пользование недрами по основанию, предусмотренному подпунктом 1 пункта 8 настоящего Порядка, - заверенные в соответствии с требованиями законодательства Российской Федерации копии учредительных документов заявителя, а в случае, если заявитель действует на основании типового устава, предусмотренного пунктом 2 статьи 52 Гражданского кодекса Российской Федерации (Собрание законодательства Российской Федерации, 1994, N 32, ст. 3301; 2015, N 27, ст. 4000), - сведения о н...">
        <w:r>
          <w:rPr>
            <w:sz w:val="24"/>
            <w:color w:val="0000ff"/>
          </w:rPr>
          <w:t xml:space="preserve">подпунктами 1</w:t>
        </w:r>
      </w:hyperlink>
      <w:r>
        <w:rPr>
          <w:sz w:val="24"/>
        </w:rPr>
        <w:t xml:space="preserve"> - </w:t>
      </w:r>
      <w:hyperlink w:history="0" w:anchor="P148" w:tooltip="5(1)) в случае переоформления лицензий на пользование недрами по основанию, предусмотренному подпунктом 7(1) пункта 8 настоящего Порядка:">
        <w:r>
          <w:rPr>
            <w:sz w:val="24"/>
            <w:color w:val="0000ff"/>
          </w:rPr>
          <w:t xml:space="preserve">5(1)</w:t>
        </w:r>
      </w:hyperlink>
      <w:r>
        <w:rPr>
          <w:sz w:val="24"/>
        </w:rPr>
        <w:t xml:space="preserve">, </w:t>
      </w:r>
      <w:hyperlink w:history="0" w:anchor="P159" w:tooltip="а) согласие пользователя недр в простой письменной форме по переоформляемой лицензии на пользование недрами на ее переоформление, подписанное конкурсным управляющим, утвержденным в деле о банкротстве юридического лица -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финансовым управляющим, утвержденным в деле о банкротстве индивидуального предпринимател...">
        <w:r>
          <w:rPr>
            <w:sz w:val="24"/>
            <w:color w:val="0000ff"/>
          </w:rPr>
          <w:t xml:space="preserve">подпунктами "а"</w:t>
        </w:r>
      </w:hyperlink>
      <w:r>
        <w:rPr>
          <w:sz w:val="24"/>
        </w:rPr>
        <w:t xml:space="preserve"> - </w:t>
      </w:r>
      <w:hyperlink w:history="0" w:anchor="P161" w:tooltip="в) документы, содержащие данные о финансовых возможностях заявителя,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усмотренные пунктами 16 и 17 настоящего Порядка;">
        <w:r>
          <w:rPr>
            <w:sz w:val="24"/>
            <w:color w:val="0000ff"/>
          </w:rPr>
          <w:t xml:space="preserve">"в"</w:t>
        </w:r>
      </w:hyperlink>
      <w:r>
        <w:rPr>
          <w:sz w:val="24"/>
        </w:rPr>
        <w:t xml:space="preserve">, </w:t>
      </w:r>
      <w:hyperlink w:history="0" w:anchor="P164" w:tooltip="е) копии документов (договоров и (или) актов приема-передачи), подтверждающих приобретение заявителем имущества (имущественного комплекса) пользователя недр, признанного несостоятельным (банкротом) в соответствии с законодательством Российской Федерации о несостоятельности (банкротстве), находящегося в границах участка недр и (или) связанного с осуществлением пользования недрами на участке недр, предоставленном в пользование по переоформляемой лицензии на пользование недрами;">
        <w:r>
          <w:rPr>
            <w:sz w:val="24"/>
            <w:color w:val="0000ff"/>
          </w:rPr>
          <w:t xml:space="preserve">"е"</w:t>
        </w:r>
      </w:hyperlink>
      <w:r>
        <w:rPr>
          <w:sz w:val="24"/>
        </w:rPr>
        <w:t xml:space="preserve"> - </w:t>
      </w:r>
      <w:hyperlink w:history="0" w:anchor="P167" w:tooltip="и) копия акта приема-передачи проектной документации на осуществление геологического изучения недр, разведки месторождений полезных ископаемых, предусмотренной статьей 36.1 Закона Российской Федерации &quot;О недрах&quot; (при наличии),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
        <w:r>
          <w:rPr>
            <w:sz w:val="24"/>
            <w:color w:val="0000ff"/>
          </w:rPr>
          <w:t xml:space="preserve">"и" подпункта 6</w:t>
        </w:r>
      </w:hyperlink>
      <w:r>
        <w:rPr>
          <w:sz w:val="24"/>
        </w:rPr>
        <w:t xml:space="preserve">, </w:t>
      </w:r>
      <w:hyperlink w:history="0" w:anchor="P168" w:tooltip="7) в случае переоформления лицензий на пользование недрами по основанию, предусмотренному подпунктом 9 пункта 8 настоящего Порядка:">
        <w:r>
          <w:rPr>
            <w:sz w:val="24"/>
            <w:color w:val="0000ff"/>
          </w:rPr>
          <w:t xml:space="preserve">подпунктами 7</w:t>
        </w:r>
      </w:hyperlink>
      <w:r>
        <w:rPr>
          <w:sz w:val="24"/>
        </w:rPr>
        <w:t xml:space="preserve"> - </w:t>
      </w:r>
      <w:hyperlink w:history="0" w:anchor="P171" w:tooltip="8) в случае переоформления лицензий на пользование недрами по основанию, предусмотренному подпунктом 10 пункта 8 настоящего Порядка:">
        <w:r>
          <w:rPr>
            <w:sz w:val="24"/>
            <w:color w:val="0000ff"/>
          </w:rPr>
          <w:t xml:space="preserve">8 пункта 14</w:t>
        </w:r>
      </w:hyperlink>
      <w:r>
        <w:rPr>
          <w:sz w:val="24"/>
        </w:rPr>
        <w:t xml:space="preserve">, </w:t>
      </w:r>
      <w:hyperlink w:history="0" w:anchor="P176" w:tooltip="15. К согласию пользователя недр по переоформляемой лицензии на пользование недрами на ее переоформление прилагается документ, подтверждающий полномочия лица на осуществление действий от имени пользователя недр по переоформляемой лицензии на пользование недрам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по переоформляемо...">
        <w:r>
          <w:rPr>
            <w:sz w:val="24"/>
            <w:color w:val="0000ff"/>
          </w:rPr>
          <w:t xml:space="preserve">пунктами 15</w:t>
        </w:r>
      </w:hyperlink>
      <w:r>
        <w:rPr>
          <w:sz w:val="24"/>
        </w:rPr>
        <w:t xml:space="preserve"> - </w:t>
      </w:r>
      <w:hyperlink w:history="0" w:anchor="P193"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й 8 Федерального закона от 29 апреля 2008 г.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обрание законодательства Росс...">
        <w:r>
          <w:rPr>
            <w:sz w:val="24"/>
            <w:color w:val="0000ff"/>
          </w:rPr>
          <w:t xml:space="preserve">19</w:t>
        </w:r>
      </w:hyperlink>
      <w:r>
        <w:rPr>
          <w:sz w:val="24"/>
        </w:rPr>
        <w:t xml:space="preserve"> настоящего Порядка, а также соблюдения срока подачи заявки, предусмотренного </w:t>
      </w:r>
      <w:hyperlink w:history="0" w:anchor="P199" w:tooltip="22. В соответствии с частью пятнадца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явка подается заявителем не позднее 6 месяцев до окончания срока действия лицензии на пользование недрами.">
        <w:r>
          <w:rPr>
            <w:sz w:val="24"/>
            <w:color w:val="0000ff"/>
          </w:rPr>
          <w:t xml:space="preserve">пунктом 22</w:t>
        </w:r>
      </w:hyperlink>
      <w:r>
        <w:rPr>
          <w:sz w:val="24"/>
        </w:rPr>
        <w:t xml:space="preserve"> настоящего Порядка.</w:t>
      </w:r>
    </w:p>
    <w:p>
      <w:pPr>
        <w:pStyle w:val="0"/>
        <w:jc w:val="both"/>
      </w:pPr>
      <w:r>
        <w:rPr>
          <w:sz w:val="24"/>
        </w:rPr>
        <w:t xml:space="preserve">(в ред. </w:t>
      </w:r>
      <w:hyperlink w:history="0" r:id="rId95"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В случае переоформления лицензий на пользование участком недр федерального значения ФГКУ "Росгеолэкспертиза" не позднее 5 рабочих дней с даты регистрации заявки направляет в Федеральное агентство по недропользованию проект запроса в Федеральную антимонопольную службу, предусмотренного </w:t>
      </w:r>
      <w:hyperlink w:history="0" w:anchor="P235" w:tooltip="30. В случае переоформления лицензий на пользование участком недр федерального значения Федеральное агентство по недропользованию не позднее 8 рабочих дней с даты регистрации заявки в соответствии с пунктом 24 настоящего Порядка направляет запрос в Федеральную антимонопольную службу о наличии (отсутствии) обстоятельств, при которых переход права пользования участком недр федерального значения к заявителю запрещается в соответствии с частью пятой статьи 17.1 Закона Российской Федерации &quot;О недрах&quot;, с прило...">
        <w:r>
          <w:rPr>
            <w:sz w:val="24"/>
            <w:color w:val="0000ff"/>
          </w:rPr>
          <w:t xml:space="preserve">пунктом 30</w:t>
        </w:r>
      </w:hyperlink>
      <w:r>
        <w:rPr>
          <w:sz w:val="24"/>
        </w:rPr>
        <w:t xml:space="preserve"> настоящего Порядка, за исключением случая, предусмотренного </w:t>
      </w:r>
      <w:hyperlink w:history="0" w:anchor="P206" w:tooltip="В случае представления заявки, не соответствующей описи входящих в ее состав документов и сведений, и (или) отсутствия в составе представленной заявки документов и сведений, указанных в абзаце первом настоящего пункта, и (или) подачи заявки с нарушением срока, предусмотренного пунктом 22 настоящего Порядка, поступившая заявка не подлежит направлению для рассмотрения Комиссией, о чем ФГКУ &quot;Росгеолэкспертиза&quot; уведомляет заявителя с использованием Личного кабинета недропользователя, по адресу электронной по...">
        <w:r>
          <w:rPr>
            <w:sz w:val="24"/>
            <w:color w:val="0000ff"/>
          </w:rPr>
          <w:t xml:space="preserve">абзацем третьим</w:t>
        </w:r>
      </w:hyperlink>
      <w:r>
        <w:rPr>
          <w:sz w:val="24"/>
        </w:rPr>
        <w:t xml:space="preserve"> настоящего пункта.</w:t>
      </w:r>
    </w:p>
    <w:bookmarkStart w:id="206" w:name="P206"/>
    <w:bookmarkEnd w:id="206"/>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представленной заявки документов и сведений, указанных в </w:t>
      </w:r>
      <w:hyperlink w:history="0" w:anchor="P203" w:tooltip="25. ФГКУ &quot;Росгеолэкспертиза&quot; в срок, не превышающий 5 рабочих дней с даты регистрации заявки, проверяет содержание представленной заявки на предмет соответствия описи входящих в ее состав документов и сведений, наличия в ее составе документов и сведений, предусмотренных подпунктами 1, 2, 4, 5 пункта 13, подпунктами 1 - 5(1), подпунктами &quot;а&quot; - &quot;в&quot;, &quot;е&quot; - &quot;и&quot; подпункта 6, подпунктами 7 - 8 пункта 14, пунктами 15 - 19 настоящего Порядка, а также соблюдения срока подачи заявки, предусмотренного пунктом 22 на...">
        <w:r>
          <w:rPr>
            <w:sz w:val="24"/>
            <w:color w:val="0000ff"/>
          </w:rPr>
          <w:t xml:space="preserve">абзаце первом</w:t>
        </w:r>
      </w:hyperlink>
      <w:r>
        <w:rPr>
          <w:sz w:val="24"/>
        </w:rPr>
        <w:t xml:space="preserve"> настоящего пункта, и (или) подачи заявки с нарушением срока, предусмотренного </w:t>
      </w:r>
      <w:hyperlink w:history="0" w:anchor="P199" w:tooltip="22. В соответствии с частью пятнадца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явка подается заявителем не позднее 6 месяцев до окончания срока действия лицензии на пользование недрами.">
        <w:r>
          <w:rPr>
            <w:sz w:val="24"/>
            <w:color w:val="0000ff"/>
          </w:rPr>
          <w:t xml:space="preserve">пунктом 22</w:t>
        </w:r>
      </w:hyperlink>
      <w:r>
        <w:rPr>
          <w:sz w:val="24"/>
        </w:rPr>
        <w:t xml:space="preserve"> настоящего Порядка, поступившая заявка не подлежит направлению для рассмотрения Комиссией, о чем ФГКУ "Росгеолэкспертиза" уведомляет заявителя с использованием Личного кабинета недропользователя, по адресу электронной почты, указанному в заявке (при наличии), или почтовым отправлением по адресу, указанному в заявке, в срок, указанный в </w:t>
      </w:r>
      <w:hyperlink w:history="0" w:anchor="P202" w:tooltip="ФГКУ &quot;Росгеолэкспертиза&quot; обеспечивает размещение заявки и прилагаемых к ней документов и сведений в федеральной государственной информационной системе &quot;Автоматизированная система лицензирования недропользования&quot; не позднее 5 рабочих дней с даты регистрации заявки.">
        <w:r>
          <w:rPr>
            <w:sz w:val="24"/>
            <w:color w:val="0000ff"/>
          </w:rPr>
          <w:t xml:space="preserve">абзаце втором пункта 24</w:t>
        </w:r>
      </w:hyperlink>
      <w:r>
        <w:rPr>
          <w:sz w:val="24"/>
        </w:rPr>
        <w:t xml:space="preserve"> настоящего Порядка. В данном случае государственная пошлина, указанная в </w:t>
      </w:r>
      <w:hyperlink w:history="0" w:anchor="P200" w:tooltip="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абзацем четвертым подпункта 92 пункта 1 статьи 333.33 Налогового кодекса Российской Федерации,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quot;Интернет&quot;.">
        <w:r>
          <w:rPr>
            <w:sz w:val="24"/>
            <w:color w:val="0000ff"/>
          </w:rPr>
          <w:t xml:space="preserve">пункте 23</w:t>
        </w:r>
      </w:hyperlink>
      <w:r>
        <w:rPr>
          <w:sz w:val="24"/>
        </w:rPr>
        <w:t xml:space="preserve"> настоящего Порядка, подлежит возврату лицу, внесшему плату в соответствии с </w:t>
      </w:r>
      <w:hyperlink w:history="0" w:anchor="P200" w:tooltip="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абзацем четвертым подпункта 92 пункта 1 статьи 333.33 Налогового кодекса Российской Федерации,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quot;Интернет&quot;.">
        <w:r>
          <w:rPr>
            <w:sz w:val="24"/>
            <w:color w:val="0000ff"/>
          </w:rPr>
          <w:t xml:space="preserve">пунктом 23</w:t>
        </w:r>
      </w:hyperlink>
      <w:r>
        <w:rPr>
          <w:sz w:val="24"/>
        </w:rPr>
        <w:t xml:space="preserve"> настоящего Порядка.</w:t>
      </w:r>
    </w:p>
    <w:bookmarkStart w:id="207" w:name="P207"/>
    <w:bookmarkEnd w:id="207"/>
    <w:p>
      <w:pPr>
        <w:pStyle w:val="0"/>
        <w:spacing w:before="240" w:lineRule="auto"/>
        <w:ind w:firstLine="540"/>
        <w:jc w:val="both"/>
      </w:pPr>
      <w:r>
        <w:rPr>
          <w:sz w:val="24"/>
        </w:rPr>
        <w:t xml:space="preserve">26. Информация из единого государственного реестра юридических лиц, предусмотренная </w:t>
      </w:r>
      <w:hyperlink w:history="0" w:anchor="P110" w:tooltip="3) выписка из единого государственного реестра юридических лиц, полученная не ранее чем за один месяц до даты подачи заявки (для юридического лица),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подпунктом 3 пункта 13</w:t>
        </w:r>
      </w:hyperlink>
      <w:r>
        <w:rPr>
          <w:sz w:val="24"/>
        </w:rPr>
        <w:t xml:space="preserve"> настоящего Порядка, запрашивается органами или организациями, указанными в </w:t>
      </w:r>
      <w:hyperlink w:history="0" w:anchor="P59" w:tooltip="2. В соответствии с частью тринадца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quot;О недрах&quot;) переоформление лицензий на пользование недрами осуществляется Федеральным агентством по недропользованию, его территориальными органами и Федеральным...">
        <w:r>
          <w:rPr>
            <w:sz w:val="24"/>
            <w:color w:val="0000ff"/>
          </w:rPr>
          <w:t xml:space="preserve">пункте 2</w:t>
        </w:r>
      </w:hyperlink>
      <w:r>
        <w:rPr>
          <w:sz w:val="24"/>
        </w:rPr>
        <w:t xml:space="preserve"> настоящего Порядка, с использованием Интернет-сервиса, размещенного на официальном сайте Федеральной налоговой службы, в соответствии с </w:t>
      </w:r>
      <w:hyperlink w:history="0" r:id="rId96"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w:t>
      </w:r>
    </w:p>
    <w:p>
      <w:pPr>
        <w:pStyle w:val="0"/>
        <w:spacing w:before="240" w:lineRule="auto"/>
        <w:ind w:firstLine="540"/>
        <w:jc w:val="both"/>
      </w:pPr>
      <w:r>
        <w:rPr>
          <w:sz w:val="24"/>
        </w:rPr>
        <w:t xml:space="preserve">Факт уплаты заявителем или уполномоченным им в соответствии с законодательством Российской Федерации лицом государственной пошлины, указанной в </w:t>
      </w:r>
      <w:hyperlink w:history="0" w:anchor="P200" w:tooltip="23. Заявка подается заявителем после уплаты им или уполномоченным им в соответствии с законодательством Российской Федерации лицом государственной пошлины, предусмотренной абзацем четвертым подпункта 92 пункта 1 статьи 333.33 Налогового кодекса Российской Федерации,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quot;Интернет&quot;.">
        <w:r>
          <w:rPr>
            <w:sz w:val="24"/>
            <w:color w:val="0000ff"/>
          </w:rPr>
          <w:t xml:space="preserve">пункте 23</w:t>
        </w:r>
      </w:hyperlink>
      <w:r>
        <w:rPr>
          <w:sz w:val="24"/>
        </w:rPr>
        <w:t xml:space="preserve"> настоящего Порядка, подтверждается посредством использования информации, содержащейся в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Факт отсутствия обстоятельств приостановления осуществления права пользования недрами в соответствии со </w:t>
      </w:r>
      <w:hyperlink w:history="0" r:id="rId97" w:tooltip="Закон РФ от 21.02.1992 N 2395-1 (ред. от 31.07.2025) &quot;О недрах&quot; {КонсультантПлюс}">
        <w:r>
          <w:rPr>
            <w:sz w:val="24"/>
            <w:color w:val="0000ff"/>
          </w:rPr>
          <w:t xml:space="preserve">статьей 20.1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подтверждается посредством использования информации, содержащейся в федеральной государственной информационной системе "Автоматизированная система лицензирования недропользования".</w:t>
      </w:r>
    </w:p>
    <w:p>
      <w:pPr>
        <w:pStyle w:val="0"/>
        <w:spacing w:before="240" w:lineRule="auto"/>
        <w:ind w:firstLine="540"/>
        <w:jc w:val="both"/>
      </w:pPr>
      <w:r>
        <w:rPr>
          <w:sz w:val="24"/>
        </w:rPr>
        <w:t xml:space="preserve">Документы и сведения, указанные в </w:t>
      </w:r>
      <w:hyperlink w:history="0" w:anchor="P162" w:tooltip="г) копия определения суда об утверждении конкурсного управляющего, финансового управляющего, а также сведения о конкурсном управляющем, финансовом управляющем, утвержденных в деле о банкротстве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w:r>
          <w:rPr>
            <w:sz w:val="24"/>
            <w:color w:val="0000ff"/>
          </w:rPr>
          <w:t xml:space="preserve">подпунктах "г"</w:t>
        </w:r>
      </w:hyperlink>
      <w:r>
        <w:rPr>
          <w:sz w:val="24"/>
        </w:rPr>
        <w:t xml:space="preserve">, </w:t>
      </w:r>
      <w:hyperlink w:history="0" w:anchor="P163" w:tooltip="д) сведения о результатах инвентаризации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сведения об отчете об оценке имущества пользователя недр по переоформляемой лицензии на пользование недрами, признанного несостоятельным (банкротом) в соответствии с законодательством Российской Федерации о несостоятельности (банкротстве) (в отношении польз...">
        <w:r>
          <w:rPr>
            <w:sz w:val="24"/>
            <w:color w:val="0000ff"/>
          </w:rPr>
          <w:t xml:space="preserve">"д" подпункта 6 пункта 14</w:t>
        </w:r>
      </w:hyperlink>
      <w:r>
        <w:rPr>
          <w:sz w:val="24"/>
        </w:rPr>
        <w:t xml:space="preserve"> настоящего Порядка, запрашиваются органами или организациями, указанными в </w:t>
      </w:r>
      <w:hyperlink w:history="0" w:anchor="P59" w:tooltip="2. В соответствии с частью тринадца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quot;О недрах&quot;) переоформление лицензий на пользование недрами осуществляется Федеральным агентством по недропользованию, его территориальными органами и Федеральным...">
        <w:r>
          <w:rPr>
            <w:sz w:val="24"/>
            <w:color w:val="0000ff"/>
          </w:rPr>
          <w:t xml:space="preserve">пункте 2</w:t>
        </w:r>
      </w:hyperlink>
      <w:r>
        <w:rPr>
          <w:sz w:val="24"/>
        </w:rPr>
        <w:t xml:space="preserve"> настоящего Порядка, посредством использования информации, содержащейся в Едином федеральном реестре сведений о банкротстве.</w:t>
      </w:r>
    </w:p>
    <w:p>
      <w:pPr>
        <w:pStyle w:val="0"/>
        <w:spacing w:before="240" w:lineRule="auto"/>
        <w:ind w:firstLine="540"/>
        <w:jc w:val="both"/>
      </w:pPr>
      <w:r>
        <w:rPr>
          <w:sz w:val="24"/>
        </w:rPr>
        <w:t xml:space="preserve">Факт наличия или отсутствия выданной заявителю лицензии на пользование недрами, действующей на дату передачи права пользования участком недр, а также факт наличия или отсутствия принятого в отношении заявителя в течение двух лет, предшествовавших передаче права пользования участком недр, решения о досрочном прекращении права пользования недрами в соответствии с </w:t>
      </w:r>
      <w:hyperlink w:history="0" r:id="rId98" w:tooltip="Закон РФ от 21.02.1992 N 2395-1 (ред. от 31.07.2025) &quot;О недрах&quot; {КонсультантПлюс}">
        <w:r>
          <w:rPr>
            <w:sz w:val="24"/>
            <w:color w:val="0000ff"/>
          </w:rPr>
          <w:t xml:space="preserve">пунктами 1</w:t>
        </w:r>
      </w:hyperlink>
      <w:r>
        <w:rPr>
          <w:sz w:val="24"/>
        </w:rPr>
        <w:t xml:space="preserve"> - </w:t>
      </w:r>
      <w:hyperlink w:history="0" r:id="rId99" w:tooltip="Закон РФ от 21.02.1992 N 2395-1 (ред. от 31.07.2025) &quot;О недрах&quot; {КонсультантПлюс}">
        <w:r>
          <w:rPr>
            <w:sz w:val="24"/>
            <w:color w:val="0000ff"/>
          </w:rPr>
          <w:t xml:space="preserve">4</w:t>
        </w:r>
      </w:hyperlink>
      <w:r>
        <w:rPr>
          <w:sz w:val="24"/>
        </w:rPr>
        <w:t xml:space="preserve">, </w:t>
      </w:r>
      <w:hyperlink w:history="0" r:id="rId100" w:tooltip="Закон РФ от 21.02.1992 N 2395-1 (ред. от 31.07.2025) &quot;О недрах&quot; {КонсультантПлюс}">
        <w:r>
          <w:rPr>
            <w:sz w:val="24"/>
            <w:color w:val="0000ff"/>
          </w:rPr>
          <w:t xml:space="preserve">6</w:t>
        </w:r>
      </w:hyperlink>
      <w:r>
        <w:rPr>
          <w:sz w:val="24"/>
        </w:rPr>
        <w:t xml:space="preserve"> и </w:t>
      </w:r>
      <w:hyperlink w:history="0" r:id="rId101" w:tooltip="Закон РФ от 21.02.1992 N 2395-1 (ред. от 31.07.2025) &quot;О недрах&quot; {КонсультантПлюс}">
        <w:r>
          <w:rPr>
            <w:sz w:val="24"/>
            <w:color w:val="0000ff"/>
          </w:rPr>
          <w:t xml:space="preserve">7 части второй статьи 20</w:t>
        </w:r>
      </w:hyperlink>
      <w:r>
        <w:rPr>
          <w:sz w:val="24"/>
        </w:rPr>
        <w:t xml:space="preserve"> Закона Российской Федерации "О недрах", подтверждаются посредством использования информации, содержащейся в федеральной государственной информационной системе "Автоматизированная система лицензирования недропользования" (в случае переоформления лицензий на пользование недрами по основанию, предусмотренному </w:t>
      </w:r>
      <w:hyperlink w:history="0" w:anchor="P89" w:tooltip="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
        <w:r>
          <w:rPr>
            <w:sz w:val="24"/>
            <w:color w:val="0000ff"/>
          </w:rPr>
          <w:t xml:space="preserve">подпунктом 7(1) пункта 8</w:t>
        </w:r>
      </w:hyperlink>
      <w:r>
        <w:rPr>
          <w:sz w:val="24"/>
        </w:rPr>
        <w:t xml:space="preserve"> настоящего Порядка).</w:t>
      </w:r>
    </w:p>
    <w:p>
      <w:pPr>
        <w:pStyle w:val="0"/>
        <w:jc w:val="both"/>
      </w:pPr>
      <w:r>
        <w:rPr>
          <w:sz w:val="24"/>
        </w:rPr>
        <w:t xml:space="preserve">(абзац введен </w:t>
      </w:r>
      <w:hyperlink w:history="0" r:id="rId102"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spacing w:before="240" w:lineRule="auto"/>
        <w:ind w:firstLine="540"/>
        <w:jc w:val="both"/>
      </w:pPr>
      <w:r>
        <w:rPr>
          <w:sz w:val="24"/>
        </w:rPr>
        <w:t xml:space="preserve">27. Заявитель вправе по собственной инициативе представить документы и сведения, предусмотренные </w:t>
      </w:r>
      <w:hyperlink w:history="0" w:anchor="P207" w:tooltip="26. Информация из единого государственного реестра юридических лиц, предусмотренная подпунктом 3 пункта 13 настоящего Порядка, запрашивается органами или организациями, указанными в пункте 2 настоящего Порядка, с использованием Интернет-сервиса, размещенного на официальном сайте Федеральной налоговой службы, в соответствии с приказом Министерства финансов Российской Федерации от 26 ноября 2018 г. N 238н &quot;Об утверждении порядка, формы и сроков предоставления сведений и документов, содержащихся в Едином го...">
        <w:r>
          <w:rPr>
            <w:sz w:val="24"/>
            <w:color w:val="0000ff"/>
          </w:rPr>
          <w:t xml:space="preserve">пунктом 26</w:t>
        </w:r>
      </w:hyperlink>
      <w:r>
        <w:rPr>
          <w:sz w:val="24"/>
        </w:rPr>
        <w:t xml:space="preserve"> настоящего Порядка.</w:t>
      </w:r>
    </w:p>
    <w:p>
      <w:pPr>
        <w:pStyle w:val="0"/>
        <w:jc w:val="both"/>
      </w:pPr>
      <w:r>
        <w:rPr>
          <w:sz w:val="24"/>
        </w:rPr>
      </w:r>
    </w:p>
    <w:p>
      <w:pPr>
        <w:pStyle w:val="2"/>
        <w:outlineLvl w:val="1"/>
        <w:jc w:val="center"/>
      </w:pPr>
      <w:r>
        <w:rPr>
          <w:sz w:val="24"/>
        </w:rPr>
        <w:t xml:space="preserve">III. Подготовка документов по переоформлению лицензии</w:t>
      </w:r>
    </w:p>
    <w:p>
      <w:pPr>
        <w:pStyle w:val="2"/>
        <w:jc w:val="center"/>
      </w:pPr>
      <w:r>
        <w:rPr>
          <w:sz w:val="24"/>
        </w:rPr>
        <w:t xml:space="preserve">на пользование недрами для рассмотрения Комиссией</w:t>
      </w:r>
    </w:p>
    <w:p>
      <w:pPr>
        <w:pStyle w:val="0"/>
        <w:jc w:val="both"/>
      </w:pPr>
      <w:r>
        <w:rPr>
          <w:sz w:val="24"/>
        </w:rPr>
      </w:r>
    </w:p>
    <w:bookmarkStart w:id="218" w:name="P218"/>
    <w:bookmarkEnd w:id="218"/>
    <w:p>
      <w:pPr>
        <w:pStyle w:val="0"/>
        <w:ind w:firstLine="540"/>
        <w:jc w:val="both"/>
      </w:pPr>
      <w:r>
        <w:rPr>
          <w:sz w:val="24"/>
        </w:rPr>
        <w:t xml:space="preserve">28. Лицо, осуществляющее организационное обеспечение деятельности Комиссии в соответствии с </w:t>
      </w:r>
      <w:hyperlink w:history="0" w:anchor="P6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w:t>
      </w:r>
    </w:p>
    <w:p>
      <w:pPr>
        <w:pStyle w:val="0"/>
        <w:spacing w:before="240" w:lineRule="auto"/>
        <w:ind w:firstLine="540"/>
        <w:jc w:val="both"/>
      </w:pPr>
      <w:r>
        <w:rPr>
          <w:sz w:val="24"/>
        </w:rPr>
        <w:t xml:space="preserve">1) сведения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копия лицензии на пользование недрами;</w:t>
      </w:r>
    </w:p>
    <w:p>
      <w:pPr>
        <w:pStyle w:val="0"/>
        <w:spacing w:before="240" w:lineRule="auto"/>
        <w:ind w:firstLine="540"/>
        <w:jc w:val="both"/>
      </w:pPr>
      <w:r>
        <w:rPr>
          <w:sz w:val="24"/>
        </w:rPr>
        <w:t xml:space="preserve">3) информация об основании (основаниях) переоформления лицензии на пользование недрами, предусмотренном (предусмотренных) </w:t>
      </w:r>
      <w:hyperlink w:history="0" w:anchor="P81"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лицензия на пользование недрами подлежит переоформлению в случае перехода права пользования участком недр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4) заявка;</w:t>
      </w:r>
    </w:p>
    <w:p>
      <w:pPr>
        <w:pStyle w:val="0"/>
        <w:spacing w:before="240" w:lineRule="auto"/>
        <w:ind w:firstLine="540"/>
        <w:jc w:val="both"/>
      </w:pPr>
      <w:r>
        <w:rPr>
          <w:sz w:val="24"/>
        </w:rPr>
        <w:t xml:space="preserve">5) документы и сведения, предусмотренные </w:t>
      </w:r>
      <w:hyperlink w:history="0" w:anchor="P107" w:tooltip="13. К заявке прилагаются следующие документы и сведения:">
        <w:r>
          <w:rPr>
            <w:sz w:val="24"/>
            <w:color w:val="0000ff"/>
          </w:rPr>
          <w:t xml:space="preserve">пунктами 13</w:t>
        </w:r>
      </w:hyperlink>
      <w:r>
        <w:rPr>
          <w:sz w:val="24"/>
        </w:rPr>
        <w:t xml:space="preserve"> - </w:t>
      </w:r>
      <w:hyperlink w:history="0" w:anchor="P193"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й 8 Федерального закона от 29 апреля 2008 г.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обрание законодательства Росс...">
        <w:r>
          <w:rPr>
            <w:sz w:val="24"/>
            <w:color w:val="0000ff"/>
          </w:rPr>
          <w:t xml:space="preserve">19</w:t>
        </w:r>
      </w:hyperlink>
      <w:r>
        <w:rPr>
          <w:sz w:val="24"/>
        </w:rPr>
        <w:t xml:space="preserve"> настоящего Порядка (за исключением случаев переоформления лицензий на пользование недрами по основанию, предусмотренному </w:t>
      </w:r>
      <w:hyperlink w:history="0" w:anchor="P89" w:tooltip="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
        <w:r>
          <w:rPr>
            <w:sz w:val="24"/>
            <w:color w:val="0000ff"/>
          </w:rPr>
          <w:t xml:space="preserve">подпунктом 7(1) пункта 8</w:t>
        </w:r>
      </w:hyperlink>
      <w:r>
        <w:rPr>
          <w:sz w:val="24"/>
        </w:rPr>
        <w:t xml:space="preserve"> настоящего Порядка);</w:t>
      </w:r>
    </w:p>
    <w:p>
      <w:pPr>
        <w:pStyle w:val="0"/>
        <w:jc w:val="both"/>
      </w:pPr>
      <w:r>
        <w:rPr>
          <w:sz w:val="24"/>
        </w:rPr>
        <w:t xml:space="preserve">(в ред. </w:t>
      </w:r>
      <w:hyperlink w:history="0" r:id="rId103"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Приказа</w:t>
        </w:r>
      </w:hyperlink>
      <w:r>
        <w:rPr>
          <w:sz w:val="24"/>
        </w:rPr>
        <w:t xml:space="preserve"> Минприроды России N 255, Роснедр N 06 от 02.05.2024)</w:t>
      </w:r>
    </w:p>
    <w:p>
      <w:pPr>
        <w:pStyle w:val="0"/>
        <w:spacing w:before="240" w:lineRule="auto"/>
        <w:ind w:firstLine="540"/>
        <w:jc w:val="both"/>
      </w:pPr>
      <w:r>
        <w:rPr>
          <w:sz w:val="24"/>
        </w:rPr>
        <w:t xml:space="preserve">5(1)) документы и сведения, предусмотренные </w:t>
      </w:r>
      <w:hyperlink w:history="0" w:anchor="P107" w:tooltip="13. К заявке прилагаются следующие документы и сведения:">
        <w:r>
          <w:rPr>
            <w:sz w:val="24"/>
            <w:color w:val="0000ff"/>
          </w:rPr>
          <w:t xml:space="preserve">пунктами 13</w:t>
        </w:r>
      </w:hyperlink>
      <w:r>
        <w:rPr>
          <w:sz w:val="24"/>
        </w:rPr>
        <w:t xml:space="preserve"> - </w:t>
      </w:r>
      <w:hyperlink w:history="0" w:anchor="P184" w:tooltip="17. В составе документов, содержащих данные о квалифицированных специалистах и технических средствах заявителя, необходимых для эффективного и безопасного проведения работ на испрашиваемом участке недр, представляются:">
        <w:r>
          <w:rPr>
            <w:sz w:val="24"/>
            <w:color w:val="0000ff"/>
          </w:rPr>
          <w:t xml:space="preserve">17</w:t>
        </w:r>
      </w:hyperlink>
      <w:r>
        <w:rPr>
          <w:sz w:val="24"/>
        </w:rPr>
        <w:t xml:space="preserve"> настоящего Порядка (в случае переоформления лицензии на пользование недрами по основанию, предусмотренному </w:t>
      </w:r>
      <w:hyperlink w:history="0" w:anchor="P89" w:tooltip="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
        <w:r>
          <w:rPr>
            <w:sz w:val="24"/>
            <w:color w:val="0000ff"/>
          </w:rPr>
          <w:t xml:space="preserve">подпунктом 7(1) пункта 8</w:t>
        </w:r>
      </w:hyperlink>
      <w:r>
        <w:rPr>
          <w:sz w:val="24"/>
        </w:rPr>
        <w:t xml:space="preserve"> настоящего Порядка);</w:t>
      </w:r>
    </w:p>
    <w:p>
      <w:pPr>
        <w:pStyle w:val="0"/>
        <w:jc w:val="both"/>
      </w:pPr>
      <w:r>
        <w:rPr>
          <w:sz w:val="24"/>
        </w:rPr>
        <w:t xml:space="preserve">(пп. 5(1) введен </w:t>
      </w:r>
      <w:hyperlink w:history="0" r:id="rId104" w:tooltip="Приказ Минприроды России N 255, Роснедр N 06 от 02.05.2024 &quot;О внесении изменений в приказы Министерства природных ресурсов и экологии Российской Федерации и Федерального агентства по недропользованию от 14 октября 2021 г. N 751/10 и от 28 октября 2021 г. N 802/20&quot; (Зарегистрировано в Минюсте России 31.05.2024 N 78389) {КонсультантПлюс}">
        <w:r>
          <w:rPr>
            <w:sz w:val="24"/>
            <w:color w:val="0000ff"/>
          </w:rPr>
          <w:t xml:space="preserve">Приказом</w:t>
        </w:r>
      </w:hyperlink>
      <w:r>
        <w:rPr>
          <w:sz w:val="24"/>
        </w:rPr>
        <w:t xml:space="preserve"> Минприроды России N 255, Роснедр N 06 от 02.05.2024)</w:t>
      </w:r>
    </w:p>
    <w:p>
      <w:pPr>
        <w:pStyle w:val="0"/>
        <w:spacing w:before="240" w:lineRule="auto"/>
        <w:ind w:firstLine="540"/>
        <w:jc w:val="both"/>
      </w:pPr>
      <w:r>
        <w:rPr>
          <w:sz w:val="24"/>
        </w:rPr>
        <w:t xml:space="preserve">6) информация Федеральной антимонопольной службы о наличии (отсутствии) обстоятельств, при которых переход права пользования участком недр федерального значения к заявителю запрещается в соответствии с </w:t>
      </w:r>
      <w:hyperlink w:history="0" r:id="rId105"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 (при переоформлении лицензии на пользование участком недр федерального значения);</w:t>
      </w:r>
    </w:p>
    <w:p>
      <w:pPr>
        <w:pStyle w:val="0"/>
        <w:spacing w:before="240" w:lineRule="auto"/>
        <w:ind w:firstLine="540"/>
        <w:jc w:val="both"/>
      </w:pPr>
      <w:r>
        <w:rPr>
          <w:sz w:val="24"/>
        </w:rPr>
        <w:t xml:space="preserve">7) решение Правительства Российской Федерации, предусмотренное </w:t>
      </w:r>
      <w:hyperlink w:history="0" r:id="rId106" w:tooltip="Закон РФ от 21.02.1992 N 2395-1 (ред. от 31.07.2025) &quot;О недрах&quot; {КонсультантПлюс}">
        <w:r>
          <w:rPr>
            <w:sz w:val="24"/>
            <w:color w:val="0000ff"/>
          </w:rPr>
          <w:t xml:space="preserve">частью шестой статьи 17.1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 наличии).</w:t>
      </w:r>
    </w:p>
    <w:p>
      <w:pPr>
        <w:pStyle w:val="0"/>
        <w:spacing w:before="240" w:lineRule="auto"/>
        <w:ind w:firstLine="540"/>
        <w:jc w:val="both"/>
      </w:pPr>
      <w:r>
        <w:rPr>
          <w:sz w:val="24"/>
        </w:rPr>
        <w:t xml:space="preserve">Лицо, осуществляющее организационное обеспечение деятельности Комиссии в соответствии с </w:t>
      </w:r>
      <w:hyperlink w:history="0" w:anchor="P6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p>
      <w:pPr>
        <w:pStyle w:val="0"/>
        <w:spacing w:before="240" w:lineRule="auto"/>
        <w:ind w:firstLine="540"/>
        <w:jc w:val="both"/>
      </w:pPr>
      <w:r>
        <w:rPr>
          <w:sz w:val="24"/>
        </w:rPr>
        <w:t xml:space="preserve">29. Лицо, осуществляющее организационное обеспечение деятельности Комиссии в соответствии с </w:t>
      </w:r>
      <w:hyperlink w:history="0" w:anchor="P6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передает в Комиссию комплект документов по переоформлению лицензии на пользование недрами, предусмотренный </w:t>
      </w:r>
      <w:hyperlink w:history="0" w:anchor="P218"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
        <w:r>
          <w:rPr>
            <w:sz w:val="24"/>
            <w:color w:val="0000ff"/>
          </w:rPr>
          <w:t xml:space="preserve">пунктом 28</w:t>
        </w:r>
      </w:hyperlink>
      <w:r>
        <w:rPr>
          <w:sz w:val="24"/>
        </w:rPr>
        <w:t xml:space="preserve"> настоящего Порядка, в следующие сроки:</w:t>
      </w:r>
    </w:p>
    <w:p>
      <w:pPr>
        <w:pStyle w:val="0"/>
        <w:spacing w:before="240" w:lineRule="auto"/>
        <w:ind w:firstLine="540"/>
        <w:jc w:val="both"/>
      </w:pPr>
      <w:r>
        <w:rPr>
          <w:sz w:val="24"/>
        </w:rPr>
        <w:t xml:space="preserve">1) в течение 15 рабочих дней с даты регистрации заявки (за исключением случаев, предусмотренных </w:t>
      </w:r>
      <w:hyperlink w:history="0" w:anchor="P232" w:tooltip="2) в течение 10 рабочих дней с даты получения информации Федеральной антимонопольной службы об отсутствии обстоятельств, при которых переход права пользования участком недр федерального значения к заявителю запрещается в соответствии с частью пятой статьи 17.1 Закона Российской Федерации &quot;О недрах&quot; (при переоформлении лицензий на пользование участком недр федерального значения, за исключением случая, предусмотренного подпунктом 3 настоящего пункта);">
        <w:r>
          <w:rPr>
            <w:sz w:val="24"/>
            <w:color w:val="0000ff"/>
          </w:rPr>
          <w:t xml:space="preserve">подпунктами 2</w:t>
        </w:r>
      </w:hyperlink>
      <w:r>
        <w:rPr>
          <w:sz w:val="24"/>
        </w:rPr>
        <w:t xml:space="preserve"> - </w:t>
      </w:r>
      <w:hyperlink w:history="0" w:anchor="P234" w:tooltip="4) в течение 10 рабочих дней с даты получения решения органов, указанных в пункте 46 настоящего Порядка, о признании жалобы заявителя на решение Комиссии об отказе в переоформлении лицензии на пользование недрами обоснованной.">
        <w:r>
          <w:rPr>
            <w:sz w:val="24"/>
            <w:color w:val="0000ff"/>
          </w:rPr>
          <w:t xml:space="preserve">4</w:t>
        </w:r>
      </w:hyperlink>
      <w:r>
        <w:rPr>
          <w:sz w:val="24"/>
        </w:rPr>
        <w:t xml:space="preserve"> настоящего пункта);</w:t>
      </w:r>
    </w:p>
    <w:bookmarkStart w:id="232" w:name="P232"/>
    <w:bookmarkEnd w:id="232"/>
    <w:p>
      <w:pPr>
        <w:pStyle w:val="0"/>
        <w:spacing w:before="240" w:lineRule="auto"/>
        <w:ind w:firstLine="540"/>
        <w:jc w:val="both"/>
      </w:pPr>
      <w:r>
        <w:rPr>
          <w:sz w:val="24"/>
        </w:rPr>
        <w:t xml:space="preserve">2) в течение 10 рабочих дней с даты получения информации Федеральной антимонопольной службы об отсутствии обстоятельств, при которых переход права пользования участком недр федерального значения к заявителю запрещается в соответствии с </w:t>
      </w:r>
      <w:hyperlink w:history="0" r:id="rId107"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 (при переоформлении лицензий на пользование участком недр федерального значения, за исключением случая, предусмотренного </w:t>
      </w:r>
      <w:hyperlink w:history="0" w:anchor="P233" w:tooltip="3) в течение 10 рабочих дней с даты получения решения Правительства Российской Федерации, предусмотренного частью шестой статьи 17.1 Закона Российской Федерации &quot;О недрах&quot; (при переоформлении лицензий на пользование участком недр федерального значения в случае получения предусмотренной абзацем четвертым пункта 30 настоящего Порядка информации Федеральной антимонопольной службы о наличии обстоятельств, при которых переход права пользования участком недр федерального значения к заявителю запрещается в соот...">
        <w:r>
          <w:rPr>
            <w:sz w:val="24"/>
            <w:color w:val="0000ff"/>
          </w:rPr>
          <w:t xml:space="preserve">подпунктом 3</w:t>
        </w:r>
      </w:hyperlink>
      <w:r>
        <w:rPr>
          <w:sz w:val="24"/>
        </w:rPr>
        <w:t xml:space="preserve"> настоящего пункта);</w:t>
      </w:r>
    </w:p>
    <w:bookmarkStart w:id="233" w:name="P233"/>
    <w:bookmarkEnd w:id="233"/>
    <w:p>
      <w:pPr>
        <w:pStyle w:val="0"/>
        <w:spacing w:before="240" w:lineRule="auto"/>
        <w:ind w:firstLine="540"/>
        <w:jc w:val="both"/>
      </w:pPr>
      <w:r>
        <w:rPr>
          <w:sz w:val="24"/>
        </w:rPr>
        <w:t xml:space="preserve">3) в течение 10 рабочих дней с даты получения решения Правительства Российской Федерации, предусмотренного </w:t>
      </w:r>
      <w:hyperlink w:history="0" r:id="rId108" w:tooltip="Закон РФ от 21.02.1992 N 2395-1 (ред. от 31.07.2025) &quot;О недрах&quot; {КонсультантПлюс}">
        <w:r>
          <w:rPr>
            <w:sz w:val="24"/>
            <w:color w:val="0000ff"/>
          </w:rPr>
          <w:t xml:space="preserve">частью шестой статьи 17.1</w:t>
        </w:r>
      </w:hyperlink>
      <w:r>
        <w:rPr>
          <w:sz w:val="24"/>
        </w:rPr>
        <w:t xml:space="preserve"> Закона Российской Федерации "О недрах" (при переоформлении лицензий на пользование участком недр федерального значения в случае получения предусмотренной </w:t>
      </w:r>
      <w:hyperlink w:history="0" w:anchor="P238" w:tooltip="В случае, если Федеральной антимонопольной службой установлено наличие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и при этом представленные заявителем документы и сведения не соответствуют требованиям к их составу и содержанию, установленным пунктом 19 настоящего Порядка, Федеральная антимонопольная служба направляет в Федеральное агентство по недропользованию информ...">
        <w:r>
          <w:rPr>
            <w:sz w:val="24"/>
            <w:color w:val="0000ff"/>
          </w:rPr>
          <w:t xml:space="preserve">абзацем четвертым пункта 30</w:t>
        </w:r>
      </w:hyperlink>
      <w:r>
        <w:rPr>
          <w:sz w:val="24"/>
        </w:rPr>
        <w:t xml:space="preserve"> настоящего Порядка информации Федеральной антимонопольной службы о наличии обстоятельств, при которых переход права пользования участком недр федерального значения к заявителю запрещается в соответствии с </w:t>
      </w:r>
      <w:hyperlink w:history="0" r:id="rId109"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w:t>
      </w:r>
    </w:p>
    <w:bookmarkStart w:id="234" w:name="P234"/>
    <w:bookmarkEnd w:id="234"/>
    <w:p>
      <w:pPr>
        <w:pStyle w:val="0"/>
        <w:spacing w:before="240" w:lineRule="auto"/>
        <w:ind w:firstLine="540"/>
        <w:jc w:val="both"/>
      </w:pPr>
      <w:r>
        <w:rPr>
          <w:sz w:val="24"/>
        </w:rPr>
        <w:t xml:space="preserve">4) в течение 10 рабочих дней с даты получения решения органов, указанных в </w:t>
      </w:r>
      <w:hyperlink w:history="0" w:anchor="P290" w:tooltip="46.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quot;Росгеолэкспертиза&quot;, а также решение Комиссии, создаваемой территориальным органом Федерального агентства по недропользованию, посредством подачи жалобы в Федеральное агентство по недропользованию на имя руководителя (заместителя руководителя) Федерального агентства по недропользованию.">
        <w:r>
          <w:rPr>
            <w:sz w:val="24"/>
            <w:color w:val="0000ff"/>
          </w:rPr>
          <w:t xml:space="preserve">пункте 46</w:t>
        </w:r>
      </w:hyperlink>
      <w:r>
        <w:rPr>
          <w:sz w:val="24"/>
        </w:rPr>
        <w:t xml:space="preserve"> настоящего Порядка, о признании жалобы заявителя на решение Комиссии об отказе в переоформлении лицензии на пользование недрами обоснованной.</w:t>
      </w:r>
    </w:p>
    <w:bookmarkStart w:id="235" w:name="P235"/>
    <w:bookmarkEnd w:id="235"/>
    <w:p>
      <w:pPr>
        <w:pStyle w:val="0"/>
        <w:spacing w:before="240" w:lineRule="auto"/>
        <w:ind w:firstLine="540"/>
        <w:jc w:val="both"/>
      </w:pPr>
      <w:r>
        <w:rPr>
          <w:sz w:val="24"/>
        </w:rPr>
        <w:t xml:space="preserve">30. В случае переоформления лицензий на пользование участком недр федерального значения Федеральное агентство по недропользованию не позднее 8 рабочих дней с даты регистрации заявки в соответствии с </w:t>
      </w:r>
      <w:hyperlink w:history="0" w:anchor="P201" w:tooltip="24. Поступившая заявка регистрируется ФГКУ &quot;Росгеолэкспертиза&quot; в день ее поступления. При регистрации заявки ей присваивается регистрационный номер, а также указываются дата и местное время (час и минуты) ее поступления.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
        <w:r>
          <w:rPr>
            <w:sz w:val="24"/>
            <w:color w:val="0000ff"/>
          </w:rPr>
          <w:t xml:space="preserve">пунктом 24</w:t>
        </w:r>
      </w:hyperlink>
      <w:r>
        <w:rPr>
          <w:sz w:val="24"/>
        </w:rPr>
        <w:t xml:space="preserve"> настоящего Порядка направляет запрос в Федеральную антимонопольную службу о наличии (отсутствии) обстоятельств, при которых переход права пользования участком недр федерального значения к заявителю запрещается в соответствии с </w:t>
      </w:r>
      <w:hyperlink w:history="0" r:id="rId110"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 с приложением документов и сведений, предусмотренных </w:t>
      </w:r>
      <w:hyperlink w:history="0" w:anchor="P101" w:tooltip="12. Заявка должна содержать:">
        <w:r>
          <w:rPr>
            <w:sz w:val="24"/>
            <w:color w:val="0000ff"/>
          </w:rPr>
          <w:t xml:space="preserve">пунктами 12</w:t>
        </w:r>
      </w:hyperlink>
      <w:r>
        <w:rPr>
          <w:sz w:val="24"/>
        </w:rPr>
        <w:t xml:space="preserve"> - </w:t>
      </w:r>
      <w:hyperlink w:history="0" w:anchor="P193"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й 8 Федерального закона от 29 апреля 2008 г.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обрание законодательства Росс...">
        <w:r>
          <w:rPr>
            <w:sz w:val="24"/>
            <w:color w:val="0000ff"/>
          </w:rPr>
          <w:t xml:space="preserve">19</w:t>
        </w:r>
      </w:hyperlink>
      <w:r>
        <w:rPr>
          <w:sz w:val="24"/>
        </w:rPr>
        <w:t xml:space="preserve"> настоящего Порядка, представленных в форме электронных документов в соответствии с </w:t>
      </w:r>
      <w:hyperlink w:history="0" w:anchor="P196" w:tooltip="В случае подачи заявки с использованием Личного кабинета недропользователя заявка и прилагаемые к ней документы и сведения представляются в форме электронных документов, подписанных электронной подписью в соответствии с требованиями Федерального закона от 6 апреля 2011 г. N 63-ФЗ &quot;Об электронной подписи&quot; (Собрание законодательства Российской Федерации, 2011, N 15, ст. 2036; 2021, N 27, ст. 5187) (далее - Федеральный закон &quot;Об электронной подписи&quot;).">
        <w:r>
          <w:rPr>
            <w:sz w:val="24"/>
            <w:color w:val="0000ff"/>
          </w:rPr>
          <w:t xml:space="preserve">абзацами вторым</w:t>
        </w:r>
      </w:hyperlink>
      <w:r>
        <w:rPr>
          <w:sz w:val="24"/>
        </w:rPr>
        <w:t xml:space="preserve"> - </w:t>
      </w:r>
      <w:hyperlink w:history="0" w:anchor="P197" w:tooltip="В случае подачи заявки лично или почтовым отправлением заявка представляется на бумажном носителе с приложением к ней документов и сведений в форме электронных документов, подписанных электронной подписью в соответствии с требованиями Федерального закона &quot;Об электронной подписи&quot;,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w:r>
          <w:rPr>
            <w:sz w:val="24"/>
            <w:color w:val="0000ff"/>
          </w:rPr>
          <w:t xml:space="preserve">третьим пункта 21</w:t>
        </w:r>
      </w:hyperlink>
      <w:r>
        <w:rPr>
          <w:sz w:val="24"/>
        </w:rPr>
        <w:t xml:space="preserve"> настоящего Порядка.</w:t>
      </w:r>
    </w:p>
    <w:bookmarkStart w:id="236" w:name="P236"/>
    <w:bookmarkEnd w:id="236"/>
    <w:p>
      <w:pPr>
        <w:pStyle w:val="0"/>
        <w:spacing w:before="240" w:lineRule="auto"/>
        <w:ind w:firstLine="540"/>
        <w:jc w:val="both"/>
      </w:pPr>
      <w:r>
        <w:rPr>
          <w:sz w:val="24"/>
        </w:rPr>
        <w:t xml:space="preserve">Федеральная антимонопольная служба в течение 20 рабочих дней с даты получения запроса Федерального агентства по недропользованию, предусмотренного </w:t>
      </w:r>
      <w:hyperlink w:history="0" w:anchor="P235" w:tooltip="30. В случае переоформления лицензий на пользование участком недр федерального значения Федеральное агентство по недропользованию не позднее 8 рабочих дней с даты регистрации заявки в соответствии с пунктом 24 настоящего Порядка направляет запрос в Федеральную антимонопольную службу о наличии (отсутствии) обстоятельств, при которых переход права пользования участком недр федерального значения к заявителю запрещается в соответствии с частью пятой статьи 17.1 Закона Российской Федерации &quot;О недрах&quot;, с прило...">
        <w:r>
          <w:rPr>
            <w:sz w:val="24"/>
            <w:color w:val="0000ff"/>
          </w:rPr>
          <w:t xml:space="preserve">абзацем первым</w:t>
        </w:r>
      </w:hyperlink>
      <w:r>
        <w:rPr>
          <w:sz w:val="24"/>
        </w:rPr>
        <w:t xml:space="preserve"> настоящего пункта, и прилагаемых к нему документов и сведений направляет в Федеральное агентство по недропользованию информацию о наличии (отсутствии) обстоятельств, при которых переход права пользования участком недр федерального значения запрещается в соответствии с </w:t>
      </w:r>
      <w:hyperlink w:history="0" r:id="rId111"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w:t>
      </w:r>
    </w:p>
    <w:bookmarkStart w:id="237" w:name="P237"/>
    <w:bookmarkEnd w:id="237"/>
    <w:p>
      <w:pPr>
        <w:pStyle w:val="0"/>
        <w:spacing w:before="240" w:lineRule="auto"/>
        <w:ind w:firstLine="540"/>
        <w:jc w:val="both"/>
      </w:pPr>
      <w:r>
        <w:rPr>
          <w:sz w:val="24"/>
        </w:rPr>
        <w:t xml:space="preserve">Федеральная антимонопольная служба в соответствии с </w:t>
      </w:r>
      <w:hyperlink w:history="0" r:id="rId112" w:tooltip="Постановление Правительства РФ от 17.10.2009 N 838 (ред. от 29.04.2023) &quot;Об утверждении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quot; {КонсультантПлюс}">
        <w:r>
          <w:rPr>
            <w:sz w:val="24"/>
            <w:color w:val="0000ff"/>
          </w:rPr>
          <w:t xml:space="preserve">пунктом 14</w:t>
        </w:r>
      </w:hyperlink>
      <w:r>
        <w:rPr>
          <w:sz w:val="24"/>
        </w:rPr>
        <w:t xml:space="preserve">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 утвержденных постановлением Правительства Российской Федерации от 17 октября 2009 г. N 838 (Собрание законодательства Российской Федерации, 2009, N 43, ст. 5087; 2021, N 40, ст. 6816), вправе запросить у заявителя дополнительные документы и сведения, необходимые для установления наличия (отсутствия) обстоятельств, при которых переход права пользования участком недр федерального значения запрещается в соответствии с </w:t>
      </w:r>
      <w:hyperlink w:history="0" r:id="rId113"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 с уведомлением об этом Федерального агентства по недропользованию не позднее пяти рабочих дней с даты направления указанного запроса. В этом случае срок подготовки информации, предусмотренной </w:t>
      </w:r>
      <w:hyperlink w:history="0" w:anchor="P236" w:tooltip="Федеральная антимонопольная служба в течение 20 рабочих дней с даты получения запроса Федерального агентства по недропользованию, предусмотренного абзацем первым настоящего пункта, и прилагаемых к нему документов и сведений направляет в Федеральное агентство по недропользованию информацию о наличии (отсутствии)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w:r>
          <w:rPr>
            <w:sz w:val="24"/>
            <w:color w:val="0000ff"/>
          </w:rPr>
          <w:t xml:space="preserve">абзацем вторым</w:t>
        </w:r>
      </w:hyperlink>
      <w:r>
        <w:rPr>
          <w:sz w:val="24"/>
        </w:rPr>
        <w:t xml:space="preserve"> настоящего пункта, продлевается на срок представления заявителем запрошенных дополнительных документов и сведений.</w:t>
      </w:r>
    </w:p>
    <w:bookmarkStart w:id="238" w:name="P238"/>
    <w:bookmarkEnd w:id="238"/>
    <w:p>
      <w:pPr>
        <w:pStyle w:val="0"/>
        <w:spacing w:before="240" w:lineRule="auto"/>
        <w:ind w:firstLine="540"/>
        <w:jc w:val="both"/>
      </w:pPr>
      <w:r>
        <w:rPr>
          <w:sz w:val="24"/>
        </w:rPr>
        <w:t xml:space="preserve">В случае, если Федеральной антимонопольной службой установлено наличие обстоятельств, при которых переход права пользования участком недр федерального значения запрещается в соответствии с </w:t>
      </w:r>
      <w:hyperlink w:history="0" r:id="rId114" w:tooltip="Закон РФ от 21.02.1992 N 2395-1 (ред. от 31.07.2025) &quot;О недрах&quot; {КонсультантПлюс}">
        <w:r>
          <w:rPr>
            <w:sz w:val="24"/>
            <w:color w:val="0000ff"/>
          </w:rPr>
          <w:t xml:space="preserve">частью пятой статьи 17.1</w:t>
        </w:r>
      </w:hyperlink>
      <w:r>
        <w:rPr>
          <w:sz w:val="24"/>
        </w:rPr>
        <w:t xml:space="preserve"> Закона Российской Федерации "О недрах", и при этом представленные заявителем документы и сведения не соответствуют требованиям к их составу и содержанию, установленным </w:t>
      </w:r>
      <w:hyperlink w:history="0" w:anchor="P193" w:tooltip="19. В случае наличия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заявитель представляет документы, предусмотренные статьей 8 Федерального закона от 29 апреля 2008 г.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обрание законодательства Росс...">
        <w:r>
          <w:rPr>
            <w:sz w:val="24"/>
            <w:color w:val="0000ff"/>
          </w:rPr>
          <w:t xml:space="preserve">пунктом 19</w:t>
        </w:r>
      </w:hyperlink>
      <w:r>
        <w:rPr>
          <w:sz w:val="24"/>
        </w:rPr>
        <w:t xml:space="preserve"> настоящего Порядка, Федеральная антимонопольная служба направляет в Федеральное агентство по недропользованию информацию об этом в срок, предусмотренный </w:t>
      </w:r>
      <w:hyperlink w:history="0" w:anchor="P236" w:tooltip="Федеральная антимонопольная служба в течение 20 рабочих дней с даты получения запроса Федерального агентства по недропользованию, предусмотренного абзацем первым настоящего пункта, и прилагаемых к нему документов и сведений направляет в Федеральное агентство по недропользованию информацию о наличии (отсутствии)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w:r>
          <w:rPr>
            <w:sz w:val="24"/>
            <w:color w:val="0000ff"/>
          </w:rPr>
          <w:t xml:space="preserve">абзацем вторым</w:t>
        </w:r>
      </w:hyperlink>
      <w:r>
        <w:rPr>
          <w:sz w:val="24"/>
        </w:rPr>
        <w:t xml:space="preserve"> настоящего пункта.</w:t>
      </w:r>
    </w:p>
    <w:p>
      <w:pPr>
        <w:pStyle w:val="0"/>
        <w:spacing w:before="240" w:lineRule="auto"/>
        <w:ind w:firstLine="540"/>
        <w:jc w:val="both"/>
      </w:pPr>
      <w:r>
        <w:rPr>
          <w:sz w:val="24"/>
        </w:rPr>
        <w:t xml:space="preserve">В случае получения от Федеральной антимонопольной службы информации, предусмотренной </w:t>
      </w:r>
      <w:hyperlink w:history="0" w:anchor="P238" w:tooltip="В случае, если Федеральной антимонопольной службой установлено наличие обстоятельств, при которых переход права пользования участком недр федерального значения запрещается в соответствии с частью пятой статьи 17.1 Закона Российской Федерации &quot;О недрах&quot;, и при этом представленные заявителем документы и сведения не соответствуют требованиям к их составу и содержанию, установленным пунктом 19 настоящего Порядка, Федеральная антимонопольная служба направляет в Федеральное агентство по недропользованию информ...">
        <w:r>
          <w:rPr>
            <w:sz w:val="24"/>
            <w:color w:val="0000ff"/>
          </w:rPr>
          <w:t xml:space="preserve">абзацем четвертым</w:t>
        </w:r>
      </w:hyperlink>
      <w:r>
        <w:rPr>
          <w:sz w:val="24"/>
        </w:rPr>
        <w:t xml:space="preserve"> настоящего пункта, поступившая заявка не подлежит направлению для рассмотрения Комиссией, о чем Федеральное агентство по недропользование уведомляет заявителя не позднее 3 рабочих дней с даты получения информации от Федеральной антимонопольной службы с использованием Личного кабинета недропользователя, по адресу электронной почты, указанному в заявке (при наличии), или почтовым отправлением по адресу, указанному в заявке.</w:t>
      </w:r>
    </w:p>
    <w:p>
      <w:pPr>
        <w:pStyle w:val="0"/>
        <w:spacing w:before="240" w:lineRule="auto"/>
        <w:ind w:firstLine="540"/>
        <w:jc w:val="both"/>
      </w:pPr>
      <w:r>
        <w:rPr>
          <w:sz w:val="24"/>
        </w:rPr>
        <w:t xml:space="preserve">В соответствии с </w:t>
      </w:r>
      <w:hyperlink w:history="0" r:id="rId115" w:tooltip="Закон РФ от 21.02.1992 N 2395-1 (ред. от 31.07.2025) &quot;О недрах&quot; {КонсультантПлюс}">
        <w:r>
          <w:rPr>
            <w:sz w:val="24"/>
            <w:color w:val="0000ff"/>
          </w:rPr>
          <w:t xml:space="preserve">частью шестой статьи 17.1</w:t>
        </w:r>
      </w:hyperlink>
      <w:r>
        <w:rPr>
          <w:sz w:val="24"/>
        </w:rPr>
        <w:t xml:space="preserve"> Закона Российской Федерации "О недрах" переход права пользования участком недр федерального значения к лицам, указанным в </w:t>
      </w:r>
      <w:hyperlink w:history="0" r:id="rId116" w:tooltip="Закон РФ от 21.02.1992 N 2395-1 (ред. от 31.07.2025) &quot;О недрах&quot; {КонсультантПлюс}">
        <w:r>
          <w:rPr>
            <w:sz w:val="24"/>
            <w:color w:val="0000ff"/>
          </w:rPr>
          <w:t xml:space="preserve">части пятой статьи 17.1</w:t>
        </w:r>
      </w:hyperlink>
      <w:r>
        <w:rPr>
          <w:sz w:val="24"/>
        </w:rPr>
        <w:t xml:space="preserve"> Закона Российской Федерации "О недрах",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w:t>
      </w:r>
      <w:hyperlink w:history="0" r:id="rId11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законом</w:t>
        </w:r>
      </w:hyperlink>
      <w:r>
        <w:rPr>
          <w:sz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Информация Федеральной антимонопольной службы, полученная в порядке, предусмотренном настоящим пунктом, а также решение Правительства Российской Федерации, предусмотренное </w:t>
      </w:r>
      <w:hyperlink w:history="0" r:id="rId118" w:tooltip="Закон РФ от 21.02.1992 N 2395-1 (ред. от 31.07.2025) &quot;О недрах&quot; {КонсультантПлюс}">
        <w:r>
          <w:rPr>
            <w:sz w:val="24"/>
            <w:color w:val="0000ff"/>
          </w:rPr>
          <w:t xml:space="preserve">частью шестой статьи 17.1</w:t>
        </w:r>
      </w:hyperlink>
      <w:r>
        <w:rPr>
          <w:sz w:val="24"/>
        </w:rPr>
        <w:t xml:space="preserve"> Закона Российской Федерации "О недрах", подлежат размещению в федеральной государственной информационной системе "Автоматизированная система лицензирования недропользования" не позднее 3 рабочих дней с даты их получения лицом, осуществляющим организационное обеспечение деятельности Комиссии в соответствии с </w:t>
      </w:r>
      <w:hyperlink w:history="0" w:anchor="P6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31. Секретарь Комиссии на основании комплекта документов по переоформлению лицензии на пользование недрами, предусмотренного </w:t>
      </w:r>
      <w:hyperlink w:history="0" w:anchor="P218"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
        <w:r>
          <w:rPr>
            <w:sz w:val="24"/>
            <w:color w:val="0000ff"/>
          </w:rPr>
          <w:t xml:space="preserve">пунктом 28</w:t>
        </w:r>
      </w:hyperlink>
      <w:r>
        <w:rPr>
          <w:sz w:val="24"/>
        </w:rPr>
        <w:t xml:space="preserve"> настоящего Порядка, в течение 5 рабочих дней с даты его получения осуществляет подготовку проекта повестки заседания Комиссии, содержащего сведения, предусмотренные </w:t>
      </w:r>
      <w:hyperlink w:history="0" w:anchor="P266" w:tooltip="1) све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
        <w:r>
          <w:rPr>
            <w:sz w:val="24"/>
            <w:color w:val="0000ff"/>
          </w:rPr>
          <w:t xml:space="preserve">подпунктами 1</w:t>
        </w:r>
      </w:hyperlink>
      <w:r>
        <w:rPr>
          <w:sz w:val="24"/>
        </w:rPr>
        <w:t xml:space="preserve"> - </w:t>
      </w:r>
      <w:hyperlink w:history="0" w:anchor="P268" w:tooltip="3) основание (основания) переоформления лицензии на пользование недрами, предусмотренное (предусмотренные) пунктом 8 настоящего Порядка;">
        <w:r>
          <w:rPr>
            <w:sz w:val="24"/>
            <w:color w:val="0000ff"/>
          </w:rPr>
          <w:t xml:space="preserve">3 пункта 40</w:t>
        </w:r>
      </w:hyperlink>
      <w:r>
        <w:rPr>
          <w:sz w:val="24"/>
        </w:rPr>
        <w:t xml:space="preserve"> настоящего Порядка.</w:t>
      </w:r>
    </w:p>
    <w:p>
      <w:pPr>
        <w:pStyle w:val="0"/>
        <w:spacing w:before="240" w:lineRule="auto"/>
        <w:ind w:firstLine="540"/>
        <w:jc w:val="both"/>
      </w:pPr>
      <w:r>
        <w:rPr>
          <w:sz w:val="24"/>
        </w:rPr>
        <w:t xml:space="preserve">Секретарь Комиссии направляет членам Комиссии на адреса их электронной почты проект повестки заседания Комиссии, содержащий сведения, предусмотренные </w:t>
      </w:r>
      <w:hyperlink w:history="0" w:anchor="P266" w:tooltip="1) све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
        <w:r>
          <w:rPr>
            <w:sz w:val="24"/>
            <w:color w:val="0000ff"/>
          </w:rPr>
          <w:t xml:space="preserve">подпунктами 1</w:t>
        </w:r>
      </w:hyperlink>
      <w:r>
        <w:rPr>
          <w:sz w:val="24"/>
        </w:rPr>
        <w:t xml:space="preserve"> - </w:t>
      </w:r>
      <w:hyperlink w:history="0" w:anchor="P268" w:tooltip="3) основание (основания) переоформления лицензии на пользование недрами, предусмотренное (предусмотренные) пунктом 8 настоящего Порядка;">
        <w:r>
          <w:rPr>
            <w:sz w:val="24"/>
            <w:color w:val="0000ff"/>
          </w:rPr>
          <w:t xml:space="preserve">3 пункта 40</w:t>
        </w:r>
      </w:hyperlink>
      <w:r>
        <w:rPr>
          <w:sz w:val="24"/>
        </w:rPr>
        <w:t xml:space="preserve"> настоящего Порядка, и извещение о проведении заседания Комиссии не позднее чем за 7 рабочих дней до даты ее заседания.</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заседания Комиссии,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в день направления извещения о проведении заседания Комиссии, предусмотренного </w:t>
      </w:r>
      <w:hyperlink w:history="0" w:anchor="P237" w:tooltip="Федеральная антимонопольная служба в соответствии с пунктом 14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 утвержденных постановлением Правительства Российской Федерации от 17 октября 2009 г. N 838 (Собрание законодательства Российской Федерации, 2009, N 43...">
        <w:r>
          <w:rPr>
            <w:sz w:val="24"/>
            <w:color w:val="0000ff"/>
          </w:rPr>
          <w:t xml:space="preserve">абзацем третьим</w:t>
        </w:r>
      </w:hyperlink>
      <w:r>
        <w:rPr>
          <w:sz w:val="24"/>
        </w:rPr>
        <w:t xml:space="preserve"> настоящего пункта, обеспечивает возможность ознакомления членов Комиссии с комплектом документов по переоформлению лицензии на пользование недрами, предусмотренным </w:t>
      </w:r>
      <w:hyperlink w:history="0" w:anchor="P218"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
        <w:r>
          <w:rPr>
            <w:sz w:val="24"/>
            <w:color w:val="0000ff"/>
          </w:rPr>
          <w:t xml:space="preserve">пунктом 28</w:t>
        </w:r>
      </w:hyperlink>
      <w:r>
        <w:rPr>
          <w:sz w:val="24"/>
        </w:rPr>
        <w:t xml:space="preserve"> настоящего Порядка, с использованием федеральной государственной информационной системы "Автоматизированная система лицензирования недропользования".</w:t>
      </w:r>
    </w:p>
    <w:p>
      <w:pPr>
        <w:pStyle w:val="0"/>
        <w:spacing w:before="240" w:lineRule="auto"/>
        <w:ind w:firstLine="540"/>
        <w:jc w:val="both"/>
      </w:pPr>
      <w:r>
        <w:rPr>
          <w:sz w:val="24"/>
        </w:rPr>
        <w:t xml:space="preserve">32. 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jc w:val="both"/>
      </w:pPr>
      <w:r>
        <w:rPr>
          <w:sz w:val="24"/>
        </w:rPr>
      </w:r>
    </w:p>
    <w:p>
      <w:pPr>
        <w:pStyle w:val="2"/>
        <w:outlineLvl w:val="1"/>
        <w:jc w:val="center"/>
      </w:pPr>
      <w:r>
        <w:rPr>
          <w:sz w:val="24"/>
        </w:rPr>
        <w:t xml:space="preserve">IV. Рассмотрение документов по переоформлению лицензии</w:t>
      </w:r>
    </w:p>
    <w:p>
      <w:pPr>
        <w:pStyle w:val="2"/>
        <w:jc w:val="center"/>
      </w:pPr>
      <w:r>
        <w:rPr>
          <w:sz w:val="24"/>
        </w:rPr>
        <w:t xml:space="preserve">на пользование недрами Комиссией</w:t>
      </w:r>
    </w:p>
    <w:p>
      <w:pPr>
        <w:pStyle w:val="0"/>
        <w:jc w:val="both"/>
      </w:pPr>
      <w:r>
        <w:rPr>
          <w:sz w:val="24"/>
        </w:rPr>
      </w:r>
    </w:p>
    <w:p>
      <w:pPr>
        <w:pStyle w:val="0"/>
        <w:ind w:firstLine="540"/>
        <w:jc w:val="both"/>
      </w:pPr>
      <w:r>
        <w:rPr>
          <w:sz w:val="24"/>
        </w:rPr>
        <w:t xml:space="preserve">33. На заседании Комиссии осуществляется рассмотрение комплекта документов по переоформлению лицензии на пользование недрами, предусмотренного </w:t>
      </w:r>
      <w:hyperlink w:history="0" w:anchor="P218"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
        <w:r>
          <w:rPr>
            <w:sz w:val="24"/>
            <w:color w:val="0000ff"/>
          </w:rPr>
          <w:t xml:space="preserve">пунктом 28</w:t>
        </w:r>
      </w:hyperlink>
      <w:r>
        <w:rPr>
          <w:sz w:val="24"/>
        </w:rPr>
        <w:t xml:space="preserve"> настоящего Порядка, на предмет наличия (отсутствия) оснований для отказа, предусмотренных </w:t>
      </w:r>
      <w:hyperlink w:history="0" w:anchor="P258"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пунктом 37</w:t>
        </w:r>
      </w:hyperlink>
      <w:r>
        <w:rPr>
          <w:sz w:val="24"/>
        </w:rPr>
        <w:t xml:space="preserve"> настоящего Порядка.</w:t>
      </w:r>
    </w:p>
    <w:p>
      <w:pPr>
        <w:pStyle w:val="0"/>
        <w:spacing w:before="240" w:lineRule="auto"/>
        <w:ind w:firstLine="540"/>
        <w:jc w:val="both"/>
      </w:pPr>
      <w:r>
        <w:rPr>
          <w:sz w:val="24"/>
        </w:rPr>
        <w:t xml:space="preserve">34. При рассмотрении комплекта документов по переоформлению лицензии на пользование недрами, предусмотренного </w:t>
      </w:r>
      <w:hyperlink w:history="0" w:anchor="P218"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
        <w:r>
          <w:rPr>
            <w:sz w:val="24"/>
            <w:color w:val="0000ff"/>
          </w:rPr>
          <w:t xml:space="preserve">пунктом 28</w:t>
        </w:r>
      </w:hyperlink>
      <w:r>
        <w:rPr>
          <w:sz w:val="24"/>
        </w:rPr>
        <w:t xml:space="preserve"> настоящего Порядка,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представленного на рассмотрение комплекта документов,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35. В случае возникновения обстоятельств непреодолимой силы в соответствии с </w:t>
      </w:r>
      <w:hyperlink w:history="0" r:id="rId11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255" w:name="P255"/>
    <w:bookmarkEnd w:id="255"/>
    <w:p>
      <w:pPr>
        <w:pStyle w:val="0"/>
        <w:spacing w:before="240" w:lineRule="auto"/>
        <w:ind w:firstLine="540"/>
        <w:jc w:val="both"/>
      </w:pPr>
      <w:r>
        <w:rPr>
          <w:sz w:val="24"/>
        </w:rPr>
        <w:t xml:space="preserve">36. По результатам рассмотрения комплекта документов по переоформлению лицензии на пользование недрами, предусмотренного </w:t>
      </w:r>
      <w:hyperlink w:history="0" w:anchor="P218"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
        <w:r>
          <w:rPr>
            <w:sz w:val="24"/>
            <w:color w:val="0000ff"/>
          </w:rPr>
          <w:t xml:space="preserve">пунктом 28</w:t>
        </w:r>
      </w:hyperlink>
      <w:r>
        <w:rPr>
          <w:sz w:val="24"/>
        </w:rPr>
        <w:t xml:space="preserve"> настоящего Порядка, Комиссия вправе принять следующие решения:</w:t>
      </w:r>
    </w:p>
    <w:p>
      <w:pPr>
        <w:pStyle w:val="0"/>
        <w:spacing w:before="240" w:lineRule="auto"/>
        <w:ind w:firstLine="540"/>
        <w:jc w:val="both"/>
      </w:pPr>
      <w:r>
        <w:rPr>
          <w:sz w:val="24"/>
        </w:rPr>
        <w:t xml:space="preserve">1) о переоформлении лицензии на пользование недрами при отсутствии оснований, предусмотренных </w:t>
      </w:r>
      <w:hyperlink w:history="0" w:anchor="P258"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пунктом 37</w:t>
        </w:r>
      </w:hyperlink>
      <w:r>
        <w:rPr>
          <w:sz w:val="24"/>
        </w:rPr>
        <w:t xml:space="preserve"> настоящего Порядка;</w:t>
      </w:r>
    </w:p>
    <w:p>
      <w:pPr>
        <w:pStyle w:val="0"/>
        <w:spacing w:before="240" w:lineRule="auto"/>
        <w:ind w:firstLine="540"/>
        <w:jc w:val="both"/>
      </w:pPr>
      <w:r>
        <w:rPr>
          <w:sz w:val="24"/>
        </w:rPr>
        <w:t xml:space="preserve">2) об отказе в переоформлении лицензии на пользование недрами при наличии оснований, предусмотренных </w:t>
      </w:r>
      <w:hyperlink w:history="0" w:anchor="P258"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пунктом 37</w:t>
        </w:r>
      </w:hyperlink>
      <w:r>
        <w:rPr>
          <w:sz w:val="24"/>
        </w:rPr>
        <w:t xml:space="preserve"> настоящего Порядка.</w:t>
      </w:r>
    </w:p>
    <w:bookmarkStart w:id="258" w:name="P258"/>
    <w:bookmarkEnd w:id="258"/>
    <w:p>
      <w:pPr>
        <w:pStyle w:val="0"/>
        <w:spacing w:before="240" w:lineRule="auto"/>
        <w:ind w:firstLine="540"/>
        <w:jc w:val="both"/>
      </w:pPr>
      <w:r>
        <w:rPr>
          <w:sz w:val="24"/>
        </w:rPr>
        <w:t xml:space="preserve">37. Принятие решения об отказе в переоформлении лицензии на пользование недрами осуществляется Комиссией в случаях, предусмотренных </w:t>
      </w:r>
      <w:hyperlink w:history="0" r:id="rId120" w:tooltip="Закон РФ от 21.02.1992 N 2395-1 (ред. от 31.07.2025) &quot;О недрах&quot; {КонсультантПлюс}">
        <w:r>
          <w:rPr>
            <w:sz w:val="24"/>
            <w:color w:val="0000ff"/>
          </w:rPr>
          <w:t xml:space="preserve">частью второй статьи 17.1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jc w:val="both"/>
      </w:pPr>
      <w:r>
        <w:rPr>
          <w:sz w:val="24"/>
        </w:rPr>
      </w:r>
    </w:p>
    <w:p>
      <w:pPr>
        <w:pStyle w:val="2"/>
        <w:outlineLvl w:val="1"/>
        <w:jc w:val="center"/>
      </w:pPr>
      <w:r>
        <w:rPr>
          <w:sz w:val="24"/>
        </w:rPr>
        <w:t xml:space="preserve">V. Оформление решения Комиссии о переоформлении (об отказе</w:t>
      </w:r>
    </w:p>
    <w:p>
      <w:pPr>
        <w:pStyle w:val="2"/>
        <w:jc w:val="center"/>
      </w:pPr>
      <w:r>
        <w:rPr>
          <w:sz w:val="24"/>
        </w:rPr>
        <w:t xml:space="preserve">в переоформлении) лицензии на пользование недрами</w:t>
      </w:r>
    </w:p>
    <w:p>
      <w:pPr>
        <w:pStyle w:val="0"/>
        <w:jc w:val="both"/>
      </w:pPr>
      <w:r>
        <w:rPr>
          <w:sz w:val="24"/>
        </w:rPr>
      </w:r>
    </w:p>
    <w:bookmarkStart w:id="263" w:name="P263"/>
    <w:bookmarkEnd w:id="263"/>
    <w:p>
      <w:pPr>
        <w:pStyle w:val="0"/>
        <w:ind w:firstLine="540"/>
        <w:jc w:val="both"/>
      </w:pPr>
      <w:r>
        <w:rPr>
          <w:sz w:val="24"/>
        </w:rPr>
        <w:t xml:space="preserve">38. Решение, предусмотренное </w:t>
      </w:r>
      <w:hyperlink w:history="0" w:anchor="P255" w:tooltip="36. По результатам рассмотрения комплекта документов по переоформлению лицензии на пользование недрами, предусмотренного пунктом 28 настоящего Порядка, Комиссия вправе принять следующие решения:">
        <w:r>
          <w:rPr>
            <w:sz w:val="24"/>
            <w:color w:val="0000ff"/>
          </w:rPr>
          <w:t xml:space="preserve">пунктом 36</w:t>
        </w:r>
      </w:hyperlink>
      <w:r>
        <w:rPr>
          <w:sz w:val="24"/>
        </w:rPr>
        <w:t xml:space="preserve">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w:t>
      </w:r>
      <w:hyperlink w:history="0" r:id="rId12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spacing w:before="240" w:lineRule="auto"/>
        <w:ind w:firstLine="540"/>
        <w:jc w:val="both"/>
      </w:pPr>
      <w:r>
        <w:rPr>
          <w:sz w:val="24"/>
        </w:rPr>
        <w:t xml:space="preserve">39. Протокол заседания Комиссии оформляется и подписывается членами Комиссии в порядке, предусмотренном </w:t>
      </w:r>
      <w:hyperlink w:history="0" w:anchor="P263" w:tooltip="38. Решение, предусмотренное пунктом 36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38</w:t>
        </w:r>
      </w:hyperlink>
      <w:r>
        <w:rPr>
          <w:sz w:val="24"/>
        </w:rPr>
        <w:t xml:space="preserve"> настоящего Порядка, в течение 10 рабочих дней с даты проведения заседания Комиссии.</w:t>
      </w:r>
    </w:p>
    <w:p>
      <w:pPr>
        <w:pStyle w:val="0"/>
        <w:spacing w:before="240" w:lineRule="auto"/>
        <w:ind w:firstLine="540"/>
        <w:jc w:val="both"/>
      </w:pPr>
      <w:r>
        <w:rPr>
          <w:sz w:val="24"/>
        </w:rPr>
        <w:t xml:space="preserve">40. В протоколе заседания Комиссии по каждому из рассмотренных вопросов о переоформлении лицензии на пользование недрами указываются:</w:t>
      </w:r>
    </w:p>
    <w:bookmarkStart w:id="266" w:name="P266"/>
    <w:bookmarkEnd w:id="266"/>
    <w:p>
      <w:pPr>
        <w:pStyle w:val="0"/>
        <w:spacing w:before="240" w:lineRule="auto"/>
        <w:ind w:firstLine="540"/>
        <w:jc w:val="both"/>
      </w:pPr>
      <w:r>
        <w:rPr>
          <w:sz w:val="24"/>
        </w:rPr>
        <w:t xml:space="preserve">1) сведения о заявителе и о пользователе недр по переоформляемой лицензии на пользование недрами,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государственный регистрационный номер переоформляемой лицензии на пользование недрами, дата ее государственной регистрации, наименование участка недр (при наличии), вид пользования недрами;</w:t>
      </w:r>
    </w:p>
    <w:bookmarkStart w:id="268" w:name="P268"/>
    <w:bookmarkEnd w:id="268"/>
    <w:p>
      <w:pPr>
        <w:pStyle w:val="0"/>
        <w:spacing w:before="240" w:lineRule="auto"/>
        <w:ind w:firstLine="540"/>
        <w:jc w:val="both"/>
      </w:pPr>
      <w:r>
        <w:rPr>
          <w:sz w:val="24"/>
        </w:rPr>
        <w:t xml:space="preserve">3) основание (основания) переоформления лицензии на пользование недрами, предусмотренное (предусмотренные) </w:t>
      </w:r>
      <w:hyperlink w:history="0" w:anchor="P81" w:tooltip="8. В соответствии с частью двенадцатой статьи 12.1, частью перв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лицензия на пользование недрами подлежит переоформлению в случае перехода права пользования участком недр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4) информация о наличии (отсутствии) оснований для отказа в переоформлении лицензии на пользование недрами, предусмотренных </w:t>
      </w:r>
      <w:hyperlink w:history="0" w:anchor="P258" w:tooltip="37. Принятие решения об отказе в переоформлении лицензии на пользование недрами осуществляется Комиссией в случаях, предусмотренных частью второй статьи 17.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пунктом 37</w:t>
        </w:r>
      </w:hyperlink>
      <w:r>
        <w:rPr>
          <w:sz w:val="24"/>
        </w:rPr>
        <w:t xml:space="preserve"> настоящего Порядка;</w:t>
      </w:r>
    </w:p>
    <w:p>
      <w:pPr>
        <w:pStyle w:val="0"/>
        <w:spacing w:before="240" w:lineRule="auto"/>
        <w:ind w:firstLine="540"/>
        <w:jc w:val="both"/>
      </w:pPr>
      <w:r>
        <w:rPr>
          <w:sz w:val="24"/>
        </w:rPr>
        <w:t xml:space="preserve">5) решение Комиссии, предусмотренное </w:t>
      </w:r>
      <w:hyperlink w:history="0" w:anchor="P255" w:tooltip="36. По результатам рассмотрения комплекта документов по переоформлению лицензии на пользование недрами, предусмотренного пунктом 28 настоящего Порядка, Комиссия вправе принять следующие решения:">
        <w:r>
          <w:rPr>
            <w:sz w:val="24"/>
            <w:color w:val="0000ff"/>
          </w:rPr>
          <w:t xml:space="preserve">пунктом 36</w:t>
        </w:r>
      </w:hyperlink>
      <w:r>
        <w:rPr>
          <w:sz w:val="24"/>
        </w:rPr>
        <w:t xml:space="preserve"> настоящего Порядка.</w:t>
      </w:r>
    </w:p>
    <w:p>
      <w:pPr>
        <w:pStyle w:val="0"/>
        <w:spacing w:before="240" w:lineRule="auto"/>
        <w:ind w:firstLine="540"/>
        <w:jc w:val="both"/>
      </w:pPr>
      <w:r>
        <w:rPr>
          <w:sz w:val="24"/>
        </w:rPr>
        <w:t xml:space="preserve">К протоколу заседания Комиссии прилагаются особые мнения членов Комиссии (при наличии).</w:t>
      </w:r>
    </w:p>
    <w:p>
      <w:pPr>
        <w:pStyle w:val="0"/>
        <w:spacing w:before="240" w:lineRule="auto"/>
        <w:ind w:firstLine="540"/>
        <w:jc w:val="both"/>
      </w:pPr>
      <w:r>
        <w:rPr>
          <w:sz w:val="24"/>
        </w:rPr>
        <w:t xml:space="preserve">41. Секретарь Комиссии в течение 1 рабочего дня с даты подписания членами Комиссии в порядке, предусмотренном </w:t>
      </w:r>
      <w:hyperlink w:history="0" w:anchor="P263" w:tooltip="38. Решение, предусмотренное пунктом 36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38</w:t>
        </w:r>
      </w:hyperlink>
      <w:r>
        <w:rPr>
          <w:sz w:val="24"/>
        </w:rPr>
        <w:t xml:space="preserve"> настоящего Порядка, протокола заседания Комиссии размещает его в федеральной государственной информационной системе "Автоматизированная система лицензирования недропользования".</w:t>
      </w:r>
    </w:p>
    <w:p>
      <w:pPr>
        <w:pStyle w:val="0"/>
        <w:spacing w:before="240" w:lineRule="auto"/>
        <w:ind w:firstLine="540"/>
        <w:jc w:val="both"/>
      </w:pPr>
      <w:r>
        <w:rPr>
          <w:sz w:val="24"/>
        </w:rPr>
        <w:t xml:space="preserve">42. Федеральное агентство по недропользованию или его территориальный орган в течение 3 рабочих дней с даты размещения подписанного членами Комиссии протокола заседания Комиссии в федеральной государственной информационной системе "Автоматизированная система лицензирования недропользования" уведомляет заявителя о принятом решении с использованием Личного кабинета недропользователя и по адресу электронной почты, указанному в заявке (при наличии), или почтовым отправлением по адресу, указанному в заявке.</w:t>
      </w:r>
    </w:p>
    <w:p>
      <w:pPr>
        <w:pStyle w:val="0"/>
        <w:jc w:val="both"/>
      </w:pPr>
      <w:r>
        <w:rPr>
          <w:sz w:val="24"/>
        </w:rPr>
      </w:r>
    </w:p>
    <w:p>
      <w:pPr>
        <w:pStyle w:val="2"/>
        <w:outlineLvl w:val="1"/>
        <w:jc w:val="center"/>
      </w:pPr>
      <w:r>
        <w:rPr>
          <w:sz w:val="24"/>
        </w:rPr>
        <w:t xml:space="preserve">VI. Размещение информации о переоформлении лицензии</w:t>
      </w:r>
    </w:p>
    <w:p>
      <w:pPr>
        <w:pStyle w:val="2"/>
        <w:jc w:val="center"/>
      </w:pPr>
      <w:r>
        <w:rPr>
          <w:sz w:val="24"/>
        </w:rPr>
        <w:t xml:space="preserve">на пользование недрами в государственном реестре участков</w:t>
      </w:r>
    </w:p>
    <w:p>
      <w:pPr>
        <w:pStyle w:val="2"/>
        <w:jc w:val="center"/>
      </w:pPr>
      <w:r>
        <w:rPr>
          <w:sz w:val="24"/>
        </w:rPr>
        <w:t xml:space="preserve">недр, предоставленных в пользование, и лицензий</w:t>
      </w:r>
    </w:p>
    <w:p>
      <w:pPr>
        <w:pStyle w:val="2"/>
        <w:jc w:val="center"/>
      </w:pPr>
      <w:r>
        <w:rPr>
          <w:sz w:val="24"/>
        </w:rPr>
        <w:t xml:space="preserve">на пользование недрами</w:t>
      </w:r>
    </w:p>
    <w:p>
      <w:pPr>
        <w:pStyle w:val="0"/>
        <w:jc w:val="both"/>
      </w:pPr>
      <w:r>
        <w:rPr>
          <w:sz w:val="24"/>
        </w:rPr>
      </w:r>
    </w:p>
    <w:p>
      <w:pPr>
        <w:pStyle w:val="0"/>
        <w:ind w:firstLine="540"/>
        <w:jc w:val="both"/>
      </w:pPr>
      <w:r>
        <w:rPr>
          <w:sz w:val="24"/>
        </w:rPr>
        <w:t xml:space="preserve">43. Размещение подписанного членами Комиссии протокола заседания Комиссии, по результатам которого принято решение о переоформлении лицензии на пользование недрами, в федеральной государственной информационной системе "Автоматизированная система лицензирования недропользования" является основанием для оформления, государственной регистрации и выдачи переоформленной лицензии на пользование недрами в порядке, установленном в соответствии с </w:t>
      </w:r>
      <w:hyperlink w:history="0" r:id="rId122" w:tooltip="Закон РФ от 21.02.1992 N 2395-1 (ред. от 31.07.2025) &quot;О недрах&quot; {КонсультантПлюс}">
        <w:r>
          <w:rPr>
            <w:sz w:val="24"/>
            <w:color w:val="0000ff"/>
          </w:rPr>
          <w:t xml:space="preserve">частью семнадцатой статьи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44. Запись о переоформлении лицензии на пользование недрами вносится в государственный реестр участков недр, предоставленных в пользование, и лицензий на пользование недрами, предусмотренный </w:t>
      </w:r>
      <w:hyperlink w:history="0" r:id="rId123"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в автоматическом режиме не позднее 1 рабочего дня, следующего за днем государственной регистрации переоформленной лицензии на пользование недрами.</w:t>
      </w:r>
    </w:p>
    <w:p>
      <w:pPr>
        <w:pStyle w:val="0"/>
        <w:spacing w:before="240" w:lineRule="auto"/>
        <w:ind w:firstLine="540"/>
        <w:jc w:val="both"/>
      </w:pPr>
      <w:r>
        <w:rPr>
          <w:sz w:val="24"/>
        </w:rPr>
        <w:t xml:space="preserve">45. Федеральное агентство по недропользованию или его территориальный орган обеспечивает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201" w:tooltip="24. Поступившая заявка регистрируется ФГКУ &quot;Росгеолэкспертиза&quot; в день ее поступления. При регистрации заявки ей присваивается регистрационный номер, а также указываются дата и местное время (час и минуты) ее поступления.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
        <w:r>
          <w:rPr>
            <w:sz w:val="24"/>
            <w:color w:val="0000ff"/>
          </w:rPr>
          <w:t xml:space="preserve">пунктом 24</w:t>
        </w:r>
      </w:hyperlink>
      <w:r>
        <w:rPr>
          <w:sz w:val="24"/>
        </w:rPr>
        <w:t xml:space="preserve"> настоящего Порядка.</w:t>
      </w:r>
    </w:p>
    <w:p>
      <w:pPr>
        <w:pStyle w:val="0"/>
        <w:jc w:val="both"/>
      </w:pPr>
      <w:r>
        <w:rPr>
          <w:sz w:val="24"/>
        </w:rPr>
      </w:r>
    </w:p>
    <w:p>
      <w:pPr>
        <w:pStyle w:val="2"/>
        <w:outlineLvl w:val="1"/>
        <w:jc w:val="center"/>
      </w:pPr>
      <w:r>
        <w:rPr>
          <w:sz w:val="24"/>
        </w:rPr>
        <w:t xml:space="preserve">VII. Обжалование действий (бездействия) должностных лиц</w:t>
      </w:r>
    </w:p>
    <w:p>
      <w:pPr>
        <w:pStyle w:val="2"/>
        <w:jc w:val="center"/>
      </w:pPr>
      <w:r>
        <w:rPr>
          <w:sz w:val="24"/>
        </w:rPr>
        <w:t xml:space="preserve">Федерального агентства по недропользованию или его</w:t>
      </w:r>
    </w:p>
    <w:p>
      <w:pPr>
        <w:pStyle w:val="2"/>
        <w:jc w:val="center"/>
      </w:pPr>
      <w:r>
        <w:rPr>
          <w:sz w:val="24"/>
        </w:rPr>
        <w:t xml:space="preserve">территориальных органов, уполномоченных работников ФГКУ</w:t>
      </w:r>
    </w:p>
    <w:p>
      <w:pPr>
        <w:pStyle w:val="2"/>
        <w:jc w:val="center"/>
      </w:pPr>
      <w:r>
        <w:rPr>
          <w:sz w:val="24"/>
        </w:rPr>
        <w:t xml:space="preserve">"Росгеолэкспертиза", а также решения Комиссии об отказе</w:t>
      </w:r>
    </w:p>
    <w:p>
      <w:pPr>
        <w:pStyle w:val="2"/>
        <w:jc w:val="center"/>
      </w:pPr>
      <w:r>
        <w:rPr>
          <w:sz w:val="24"/>
        </w:rPr>
        <w:t xml:space="preserve">в переоформлении лицензии на пользование недрам</w:t>
      </w:r>
    </w:p>
    <w:p>
      <w:pPr>
        <w:pStyle w:val="0"/>
        <w:jc w:val="both"/>
      </w:pPr>
      <w:r>
        <w:rPr>
          <w:sz w:val="24"/>
        </w:rPr>
      </w:r>
    </w:p>
    <w:bookmarkStart w:id="290" w:name="P290"/>
    <w:bookmarkEnd w:id="290"/>
    <w:p>
      <w:pPr>
        <w:pStyle w:val="0"/>
        <w:ind w:firstLine="540"/>
        <w:jc w:val="both"/>
      </w:pPr>
      <w:r>
        <w:rPr>
          <w:sz w:val="24"/>
        </w:rPr>
        <w:t xml:space="preserve">46.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в Федеральное агентство по недропользованию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решения Комиссии, создаваемой Федеральным агентством по недропользованию, посредством подачи жалобы в Министерство природных ресурсов и экологии Российской Федерации на имя Министра природных ресурсов и экологии Российской Федерации.</w:t>
      </w:r>
    </w:p>
    <w:p>
      <w:pPr>
        <w:pStyle w:val="0"/>
        <w:spacing w:before="240" w:lineRule="auto"/>
        <w:ind w:firstLine="540"/>
        <w:jc w:val="both"/>
      </w:pPr>
      <w:r>
        <w:rPr>
          <w:sz w:val="24"/>
        </w:rPr>
        <w:t xml:space="preserve">47. В случае признания жалобы заявителя на решение Комиссии об отказе в переоформлении лицензии на пользование недрами обоснованной, комплект документов по переоформлению лицензию на пользование недрами, предусмотренный </w:t>
      </w:r>
      <w:hyperlink w:history="0" w:anchor="P218" w:tooltip="28. Лицо, осуществляющее организационное обеспечение деятельности Комиссии в соответствии с пунктом 5 настоящего Порядка, готовит комплект документов по переоформлению лицензии на пользование недрами для рассмотрения Комиссией, который включает в себя следующие документы и сведения в отношении каждого случая переоформления лицензии на пользование недрами:">
        <w:r>
          <w:rPr>
            <w:sz w:val="24"/>
            <w:color w:val="0000ff"/>
          </w:rPr>
          <w:t xml:space="preserve">пунктом 28</w:t>
        </w:r>
      </w:hyperlink>
      <w:r>
        <w:rPr>
          <w:sz w:val="24"/>
        </w:rPr>
        <w:t xml:space="preserve"> настоящего Порядка, подлежит повторному рассмотрению Комиссией в сроки, предусмотренные </w:t>
      </w:r>
      <w:hyperlink w:history="0" w:anchor="P234" w:tooltip="4) в течение 10 рабочих дней с даты получения решения органов, указанных в пункте 46 настоящего Порядка, о признании жалобы заявителя на решение Комиссии об отказе в переоформлении лицензии на пользование недрами обоснованной.">
        <w:r>
          <w:rPr>
            <w:sz w:val="24"/>
            <w:color w:val="0000ff"/>
          </w:rPr>
          <w:t xml:space="preserve">подпунктом 4 пункта 29</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переоформления лицензий</w:t>
      </w:r>
    </w:p>
    <w:p>
      <w:pPr>
        <w:pStyle w:val="0"/>
        <w:jc w:val="right"/>
      </w:pPr>
      <w:r>
        <w:rPr>
          <w:sz w:val="24"/>
        </w:rPr>
        <w:t xml:space="preserve">на пользование недрами, утвержденному</w:t>
      </w:r>
    </w:p>
    <w:p>
      <w:pPr>
        <w:pStyle w:val="0"/>
        <w:jc w:val="right"/>
      </w:pPr>
      <w:r>
        <w:rPr>
          <w:sz w:val="24"/>
        </w:rPr>
        <w:t xml:space="preserve">приказом Минприроды России и Роснедр</w:t>
      </w:r>
    </w:p>
    <w:p>
      <w:pPr>
        <w:pStyle w:val="0"/>
        <w:jc w:val="right"/>
      </w:pPr>
      <w:r>
        <w:rPr>
          <w:sz w:val="24"/>
        </w:rPr>
        <w:t xml:space="preserve">от 14 октября 2021 г. N 751/10</w:t>
      </w:r>
    </w:p>
    <w:p>
      <w:pPr>
        <w:pStyle w:val="0"/>
        <w:jc w:val="both"/>
      </w:pPr>
      <w:r>
        <w:rPr>
          <w:sz w:val="24"/>
        </w:rPr>
      </w:r>
    </w:p>
    <w:bookmarkStart w:id="304" w:name="P304"/>
    <w:bookmarkEnd w:id="304"/>
    <w:p>
      <w:pPr>
        <w:pStyle w:val="2"/>
        <w:jc w:val="center"/>
      </w:pPr>
      <w:r>
        <w:rPr>
          <w:sz w:val="24"/>
        </w:rPr>
        <w:t xml:space="preserve">ПРЕДЕЛЬНЫЕ ОБЪЕМЫ</w:t>
      </w:r>
    </w:p>
    <w:p>
      <w:pPr>
        <w:pStyle w:val="2"/>
        <w:jc w:val="center"/>
      </w:pPr>
      <w:r>
        <w:rPr>
          <w:sz w:val="24"/>
        </w:rPr>
        <w:t xml:space="preserve">ЗАПАСОВ И ПРОГНОЗНЫХ РЕСУРСОВ ПОЛЕЗНЫХ ИСКОПАЕМЫХ,</w:t>
      </w:r>
    </w:p>
    <w:p>
      <w:pPr>
        <w:pStyle w:val="2"/>
        <w:jc w:val="center"/>
      </w:pPr>
      <w:r>
        <w:rPr>
          <w:sz w:val="24"/>
        </w:rPr>
        <w:t xml:space="preserve">ЗАЛЕГАЮЩИХ НА УЧАСТКЕ НЕДР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406"/>
        <w:gridCol w:w="2324"/>
        <w:gridCol w:w="2211"/>
      </w:tblGrid>
      <w:tr>
        <w:tc>
          <w:tcPr>
            <w:tcW w:w="3118" w:type="dxa"/>
            <w:vMerge w:val="restart"/>
          </w:tcPr>
          <w:p>
            <w:pPr>
              <w:pStyle w:val="0"/>
              <w:jc w:val="center"/>
            </w:pPr>
            <w:r>
              <w:rPr>
                <w:sz w:val="24"/>
              </w:rPr>
              <w:t xml:space="preserve">Полезные ископаемые месторождений или проявлений на участках недр</w:t>
            </w:r>
          </w:p>
        </w:tc>
        <w:tc>
          <w:tcPr>
            <w:tcW w:w="1406" w:type="dxa"/>
            <w:vMerge w:val="restart"/>
          </w:tcPr>
          <w:p>
            <w:pPr>
              <w:pStyle w:val="0"/>
              <w:jc w:val="center"/>
            </w:pPr>
            <w:r>
              <w:rPr>
                <w:sz w:val="24"/>
              </w:rPr>
              <w:t xml:space="preserve">Единица измерения</w:t>
            </w:r>
          </w:p>
        </w:tc>
        <w:tc>
          <w:tcPr>
            <w:gridSpan w:val="2"/>
            <w:tcW w:w="4535" w:type="dxa"/>
          </w:tcPr>
          <w:p>
            <w:pPr>
              <w:pStyle w:val="0"/>
              <w:jc w:val="center"/>
            </w:pPr>
            <w:r>
              <w:rPr>
                <w:sz w:val="24"/>
              </w:rPr>
              <w:t xml:space="preserve">Максимальное количество</w:t>
            </w:r>
          </w:p>
        </w:tc>
      </w:tr>
      <w:tr>
        <w:tc>
          <w:tcPr>
            <w:vMerge w:val="continue"/>
          </w:tcPr>
          <w:p/>
        </w:tc>
        <w:tc>
          <w:tcPr>
            <w:vMerge w:val="continue"/>
          </w:tcPr>
          <w:p/>
        </w:tc>
        <w:tc>
          <w:tcPr>
            <w:tcW w:w="2324" w:type="dxa"/>
          </w:tcPr>
          <w:p>
            <w:pPr>
              <w:pStyle w:val="0"/>
              <w:jc w:val="center"/>
            </w:pPr>
            <w:r>
              <w:rPr>
                <w:sz w:val="24"/>
              </w:rPr>
              <w:t xml:space="preserve">балансовых запасов полезных ископаемых по категориям A + B + C</w:t>
            </w:r>
            <w:r>
              <w:rPr>
                <w:sz w:val="24"/>
                <w:vertAlign w:val="subscript"/>
              </w:rPr>
              <w:t xml:space="preserve">1</w:t>
            </w:r>
            <w:r>
              <w:rPr>
                <w:sz w:val="24"/>
              </w:rPr>
              <w:t xml:space="preserve"> + C</w:t>
            </w:r>
            <w:r>
              <w:rPr>
                <w:sz w:val="24"/>
                <w:vertAlign w:val="subscript"/>
              </w:rPr>
              <w:t xml:space="preserve">2</w:t>
            </w:r>
          </w:p>
        </w:tc>
        <w:tc>
          <w:tcPr>
            <w:tcW w:w="2211" w:type="dxa"/>
          </w:tcPr>
          <w:p>
            <w:pPr>
              <w:pStyle w:val="0"/>
              <w:jc w:val="center"/>
            </w:pPr>
            <w:r>
              <w:rPr>
                <w:sz w:val="24"/>
              </w:rPr>
              <w:t xml:space="preserve">прогнозных ресурсов полезных ископаемых по категориям P</w:t>
            </w:r>
            <w:r>
              <w:rPr>
                <w:sz w:val="24"/>
                <w:vertAlign w:val="subscript"/>
              </w:rPr>
              <w:t xml:space="preserve">1</w:t>
            </w:r>
            <w:r>
              <w:rPr>
                <w:sz w:val="24"/>
              </w:rPr>
              <w:t xml:space="preserve"> + P</w:t>
            </w:r>
            <w:r>
              <w:rPr>
                <w:sz w:val="24"/>
                <w:vertAlign w:val="subscript"/>
              </w:rPr>
              <w:t xml:space="preserve">2</w:t>
            </w:r>
            <w:r>
              <w:rPr>
                <w:sz w:val="24"/>
              </w:rPr>
              <w:t xml:space="preserve"> + P</w:t>
            </w:r>
            <w:r>
              <w:rPr>
                <w:sz w:val="24"/>
                <w:vertAlign w:val="subscript"/>
              </w:rPr>
              <w:t xml:space="preserve">3</w:t>
            </w:r>
            <w:r>
              <w:rPr>
                <w:sz w:val="24"/>
              </w:rPr>
              <w:t xml:space="preserve"> (D</w:t>
            </w:r>
            <w:r>
              <w:rPr>
                <w:sz w:val="24"/>
                <w:vertAlign w:val="subscript"/>
              </w:rPr>
              <w:t xml:space="preserve">0</w:t>
            </w:r>
            <w:r>
              <w:rPr>
                <w:sz w:val="24"/>
              </w:rPr>
              <w:t xml:space="preserve"> + D</w:t>
            </w:r>
            <w:r>
              <w:rPr>
                <w:sz w:val="24"/>
                <w:vertAlign w:val="subscript"/>
              </w:rPr>
              <w:t xml:space="preserve">л</w:t>
            </w:r>
            <w:r>
              <w:rPr>
                <w:sz w:val="24"/>
              </w:rPr>
              <w:t xml:space="preserve">, + D</w:t>
            </w:r>
            <w:r>
              <w:rPr>
                <w:sz w:val="24"/>
                <w:vertAlign w:val="subscript"/>
              </w:rPr>
              <w:t xml:space="preserve">1</w:t>
            </w:r>
            <w:r>
              <w:rPr>
                <w:sz w:val="24"/>
              </w:rPr>
              <w:t xml:space="preserve"> + D</w:t>
            </w:r>
            <w:r>
              <w:rPr>
                <w:sz w:val="24"/>
                <w:vertAlign w:val="subscript"/>
              </w:rPr>
              <w:t xml:space="preserve">2</w:t>
            </w:r>
            <w:r>
              <w:rPr>
                <w:sz w:val="24"/>
              </w:rPr>
              <w:t xml:space="preserve">)</w:t>
            </w:r>
          </w:p>
        </w:tc>
      </w:tr>
      <w:tr>
        <w:tc>
          <w:tcPr>
            <w:tcW w:w="3118" w:type="dxa"/>
          </w:tcPr>
          <w:p>
            <w:pPr>
              <w:pStyle w:val="0"/>
              <w:jc w:val="center"/>
            </w:pPr>
            <w:r>
              <w:rPr>
                <w:sz w:val="24"/>
              </w:rPr>
              <w:t xml:space="preserve">1</w:t>
            </w:r>
          </w:p>
        </w:tc>
        <w:tc>
          <w:tcPr>
            <w:tcW w:w="1406" w:type="dxa"/>
          </w:tcPr>
          <w:p>
            <w:pPr>
              <w:pStyle w:val="0"/>
              <w:jc w:val="center"/>
            </w:pPr>
            <w:r>
              <w:rPr>
                <w:sz w:val="24"/>
              </w:rPr>
              <w:t xml:space="preserve">2</w:t>
            </w:r>
          </w:p>
        </w:tc>
        <w:tc>
          <w:tcPr>
            <w:tcW w:w="2324" w:type="dxa"/>
          </w:tcPr>
          <w:p>
            <w:pPr>
              <w:pStyle w:val="0"/>
              <w:jc w:val="center"/>
            </w:pPr>
            <w:r>
              <w:rPr>
                <w:sz w:val="24"/>
              </w:rPr>
              <w:t xml:space="preserve">3</w:t>
            </w:r>
          </w:p>
        </w:tc>
        <w:tc>
          <w:tcPr>
            <w:tcW w:w="2211" w:type="dxa"/>
          </w:tcPr>
          <w:p>
            <w:pPr>
              <w:pStyle w:val="0"/>
              <w:jc w:val="center"/>
            </w:pPr>
            <w:r>
              <w:rPr>
                <w:sz w:val="24"/>
              </w:rPr>
              <w:t xml:space="preserve">4</w:t>
            </w:r>
          </w:p>
        </w:tc>
      </w:tr>
      <w:tr>
        <w:tc>
          <w:tcPr>
            <w:gridSpan w:val="4"/>
            <w:tcW w:w="9059" w:type="dxa"/>
          </w:tcPr>
          <w:p>
            <w:pPr>
              <w:pStyle w:val="0"/>
              <w:outlineLvl w:val="2"/>
            </w:pPr>
            <w:r>
              <w:rPr>
                <w:sz w:val="24"/>
              </w:rPr>
              <w:t xml:space="preserve">I. Углеводородное сырье</w:t>
            </w:r>
          </w:p>
        </w:tc>
      </w:tr>
      <w:tr>
        <w:tc>
          <w:tcPr>
            <w:tcW w:w="3118" w:type="dxa"/>
          </w:tcPr>
          <w:p>
            <w:pPr>
              <w:pStyle w:val="0"/>
            </w:pPr>
            <w:r>
              <w:rPr>
                <w:sz w:val="24"/>
              </w:rPr>
              <w:t xml:space="preserve">Нефть</w:t>
            </w:r>
          </w:p>
        </w:tc>
        <w:tc>
          <w:tcPr>
            <w:tcW w:w="1406" w:type="dxa"/>
          </w:tcPr>
          <w:p>
            <w:pPr>
              <w:pStyle w:val="0"/>
              <w:jc w:val="center"/>
            </w:pPr>
            <w:r>
              <w:rPr>
                <w:sz w:val="24"/>
              </w:rPr>
              <w:t xml:space="preserve">млн. т (извл.)</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Газ</w:t>
            </w:r>
          </w:p>
        </w:tc>
        <w:tc>
          <w:tcPr>
            <w:tcW w:w="1406" w:type="dxa"/>
          </w:tcPr>
          <w:p>
            <w:pPr>
              <w:pStyle w:val="0"/>
              <w:jc w:val="center"/>
            </w:pPr>
            <w:r>
              <w:rPr>
                <w:sz w:val="24"/>
              </w:rPr>
              <w:t xml:space="preserve">млрд. м</w:t>
            </w:r>
            <w:r>
              <w:rPr>
                <w:sz w:val="24"/>
                <w:vertAlign w:val="superscript"/>
              </w:rPr>
              <w:t xml:space="preserve">3</w:t>
            </w:r>
            <w:r>
              <w:rPr>
                <w:sz w:val="24"/>
              </w:rPr>
              <w:t xml:space="preserve"> (извл.)</w:t>
            </w:r>
          </w:p>
        </w:tc>
        <w:tc>
          <w:tcPr>
            <w:tcW w:w="2324" w:type="dxa"/>
          </w:tcPr>
          <w:p>
            <w:pPr>
              <w:pStyle w:val="0"/>
              <w:jc w:val="center"/>
            </w:pPr>
            <w:r>
              <w:rPr>
                <w:sz w:val="24"/>
              </w:rPr>
              <w:t xml:space="preserve">3</w:t>
            </w:r>
          </w:p>
        </w:tc>
        <w:tc>
          <w:tcPr>
            <w:tcW w:w="2211" w:type="dxa"/>
          </w:tcPr>
          <w:p>
            <w:pPr>
              <w:pStyle w:val="0"/>
              <w:jc w:val="center"/>
            </w:pPr>
            <w:r>
              <w:rPr>
                <w:sz w:val="24"/>
              </w:rPr>
              <w:t xml:space="preserve">5</w:t>
            </w:r>
          </w:p>
        </w:tc>
      </w:tr>
      <w:tr>
        <w:tc>
          <w:tcPr>
            <w:gridSpan w:val="4"/>
            <w:tcW w:w="9059" w:type="dxa"/>
          </w:tcPr>
          <w:p>
            <w:pPr>
              <w:pStyle w:val="0"/>
              <w:outlineLvl w:val="2"/>
            </w:pPr>
            <w:r>
              <w:rPr>
                <w:sz w:val="24"/>
              </w:rPr>
              <w:t xml:space="preserve">II. Энергетическое сырье</w:t>
            </w:r>
          </w:p>
        </w:tc>
      </w:tr>
      <w:tr>
        <w:tc>
          <w:tcPr>
            <w:tcW w:w="3118" w:type="dxa"/>
          </w:tcPr>
          <w:p>
            <w:pPr>
              <w:pStyle w:val="0"/>
            </w:pPr>
            <w:r>
              <w:rPr>
                <w:sz w:val="24"/>
              </w:rPr>
              <w:t xml:space="preserve">Уголь каменный и антрацит</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Уголь бурый</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100</w:t>
            </w:r>
          </w:p>
        </w:tc>
        <w:tc>
          <w:tcPr>
            <w:tcW w:w="2211" w:type="dxa"/>
          </w:tcPr>
          <w:p>
            <w:pPr>
              <w:pStyle w:val="0"/>
              <w:jc w:val="center"/>
            </w:pPr>
            <w:r>
              <w:rPr>
                <w:sz w:val="24"/>
              </w:rPr>
              <w:t xml:space="preserve">200</w:t>
            </w:r>
          </w:p>
        </w:tc>
      </w:tr>
      <w:tr>
        <w:tc>
          <w:tcPr>
            <w:tcW w:w="3118" w:type="dxa"/>
          </w:tcPr>
          <w:p>
            <w:pPr>
              <w:pStyle w:val="0"/>
            </w:pPr>
            <w:r>
              <w:rPr>
                <w:sz w:val="24"/>
              </w:rPr>
              <w:t xml:space="preserve">Торф и горючие сланцы</w:t>
            </w:r>
          </w:p>
        </w:tc>
        <w:tc>
          <w:tcPr>
            <w:gridSpan w:val="3"/>
            <w:tcW w:w="5941" w:type="dxa"/>
          </w:tcPr>
          <w:p>
            <w:pPr>
              <w:pStyle w:val="0"/>
            </w:pPr>
            <w:r>
              <w:rPr>
                <w:sz w:val="24"/>
              </w:rPr>
              <w:t xml:space="preserve">Без ограничений</w:t>
            </w:r>
          </w:p>
        </w:tc>
      </w:tr>
      <w:tr>
        <w:tc>
          <w:tcPr>
            <w:gridSpan w:val="4"/>
            <w:tcW w:w="9059" w:type="dxa"/>
          </w:tcPr>
          <w:p>
            <w:pPr>
              <w:pStyle w:val="0"/>
              <w:outlineLvl w:val="2"/>
            </w:pPr>
            <w:r>
              <w:rPr>
                <w:sz w:val="24"/>
              </w:rPr>
              <w:t xml:space="preserve">III. Черные металлы</w:t>
            </w:r>
          </w:p>
        </w:tc>
      </w:tr>
      <w:tr>
        <w:tc>
          <w:tcPr>
            <w:tcW w:w="3118" w:type="dxa"/>
          </w:tcPr>
          <w:p>
            <w:pPr>
              <w:pStyle w:val="0"/>
            </w:pPr>
            <w:r>
              <w:rPr>
                <w:sz w:val="24"/>
              </w:rPr>
              <w:t xml:space="preserve">Железные руды</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100</w:t>
            </w:r>
          </w:p>
        </w:tc>
        <w:tc>
          <w:tcPr>
            <w:tcW w:w="2211" w:type="dxa"/>
          </w:tcPr>
          <w:p>
            <w:pPr>
              <w:pStyle w:val="0"/>
              <w:jc w:val="center"/>
            </w:pPr>
            <w:r>
              <w:rPr>
                <w:sz w:val="24"/>
              </w:rPr>
              <w:t xml:space="preserve">200</w:t>
            </w:r>
          </w:p>
        </w:tc>
      </w:tr>
      <w:tr>
        <w:tc>
          <w:tcPr>
            <w:tcW w:w="3118" w:type="dxa"/>
          </w:tcPr>
          <w:p>
            <w:pPr>
              <w:pStyle w:val="0"/>
            </w:pPr>
            <w:r>
              <w:rPr>
                <w:sz w:val="24"/>
              </w:rPr>
              <w:t xml:space="preserve">Марганцевые руды</w:t>
            </w:r>
          </w:p>
        </w:tc>
        <w:tc>
          <w:tcPr>
            <w:tcW w:w="1406" w:type="dxa"/>
          </w:tcPr>
          <w:p>
            <w:pPr>
              <w:pStyle w:val="0"/>
              <w:jc w:val="center"/>
            </w:pPr>
            <w:r>
              <w:rPr>
                <w:sz w:val="24"/>
              </w:rPr>
              <w:t xml:space="preserve">млн. т</w:t>
            </w:r>
          </w:p>
        </w:tc>
        <w:tc>
          <w:tcPr>
            <w:tcW w:w="2324" w:type="dxa"/>
          </w:tcPr>
          <w:p>
            <w:pPr>
              <w:pStyle w:val="0"/>
              <w:jc w:val="center"/>
            </w:pPr>
            <w:r>
              <w:rPr>
                <w:sz w:val="24"/>
              </w:rPr>
              <w:t xml:space="preserve">3</w:t>
            </w:r>
          </w:p>
        </w:tc>
        <w:tc>
          <w:tcPr>
            <w:tcW w:w="2211" w:type="dxa"/>
          </w:tcPr>
          <w:p>
            <w:pPr>
              <w:pStyle w:val="0"/>
              <w:jc w:val="center"/>
            </w:pPr>
            <w:r>
              <w:rPr>
                <w:sz w:val="24"/>
              </w:rPr>
              <w:t xml:space="preserve">6</w:t>
            </w:r>
          </w:p>
        </w:tc>
      </w:tr>
      <w:tr>
        <w:tc>
          <w:tcPr>
            <w:tcW w:w="3118" w:type="dxa"/>
          </w:tcPr>
          <w:p>
            <w:pPr>
              <w:pStyle w:val="0"/>
            </w:pPr>
            <w:r>
              <w:rPr>
                <w:sz w:val="24"/>
              </w:rPr>
              <w:t xml:space="preserve">Хромовые руды</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gridSpan w:val="4"/>
            <w:tcW w:w="9059" w:type="dxa"/>
          </w:tcPr>
          <w:p>
            <w:pPr>
              <w:pStyle w:val="0"/>
              <w:outlineLvl w:val="2"/>
            </w:pPr>
            <w:r>
              <w:rPr>
                <w:sz w:val="24"/>
              </w:rPr>
              <w:t xml:space="preserve">IV. Цветные и редкие металлы</w:t>
            </w:r>
          </w:p>
        </w:tc>
      </w:tr>
      <w:tr>
        <w:tc>
          <w:tcPr>
            <w:tcW w:w="3118" w:type="dxa"/>
          </w:tcPr>
          <w:p>
            <w:pPr>
              <w:pStyle w:val="0"/>
            </w:pPr>
            <w:r>
              <w:rPr>
                <w:sz w:val="24"/>
              </w:rPr>
              <w:t xml:space="preserve">Алюминиевое сырье, в т.ч. бокситы для производства глинозема, алуниты, нефелины</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Вольфрам</w:t>
            </w:r>
          </w:p>
        </w:tc>
        <w:tc>
          <w:tcPr>
            <w:tcW w:w="1406" w:type="dxa"/>
          </w:tcPr>
          <w:p>
            <w:pPr>
              <w:pStyle w:val="0"/>
              <w:jc w:val="center"/>
            </w:pPr>
            <w:r>
              <w:rPr>
                <w:sz w:val="24"/>
              </w:rPr>
              <w:t xml:space="preserve">тыс. т</w:t>
            </w:r>
          </w:p>
          <w:p>
            <w:pPr>
              <w:pStyle w:val="0"/>
              <w:jc w:val="center"/>
            </w:pPr>
            <w:r>
              <w:rPr>
                <w:sz w:val="24"/>
              </w:rPr>
              <w:t xml:space="preserve">WO</w:t>
            </w:r>
            <w:r>
              <w:rPr>
                <w:sz w:val="24"/>
                <w:vertAlign w:val="subscript"/>
              </w:rPr>
              <w:t xml:space="preserve">3</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Висмут</w:t>
            </w:r>
          </w:p>
        </w:tc>
        <w:tc>
          <w:tcPr>
            <w:tcW w:w="1406" w:type="dxa"/>
          </w:tcPr>
          <w:p>
            <w:pPr>
              <w:pStyle w:val="0"/>
              <w:jc w:val="center"/>
            </w:pPr>
            <w:r>
              <w:rPr>
                <w:sz w:val="24"/>
              </w:rPr>
              <w:t xml:space="preserve">тыс. т</w:t>
            </w:r>
          </w:p>
        </w:tc>
        <w:tc>
          <w:tcPr>
            <w:tcW w:w="2324" w:type="dxa"/>
          </w:tcPr>
          <w:p>
            <w:pPr>
              <w:pStyle w:val="0"/>
              <w:jc w:val="center"/>
            </w:pPr>
            <w:r>
              <w:rPr>
                <w:sz w:val="24"/>
              </w:rPr>
              <w:t xml:space="preserve">5</w:t>
            </w:r>
          </w:p>
        </w:tc>
        <w:tc>
          <w:tcPr>
            <w:tcW w:w="2211" w:type="dxa"/>
          </w:tcPr>
          <w:p>
            <w:pPr>
              <w:pStyle w:val="0"/>
              <w:jc w:val="center"/>
            </w:pPr>
            <w:r>
              <w:rPr>
                <w:sz w:val="24"/>
              </w:rPr>
              <w:t xml:space="preserve">10</w:t>
            </w:r>
          </w:p>
        </w:tc>
      </w:tr>
      <w:tr>
        <w:tc>
          <w:tcPr>
            <w:tcW w:w="3118" w:type="dxa"/>
          </w:tcPr>
          <w:p>
            <w:pPr>
              <w:pStyle w:val="0"/>
            </w:pPr>
            <w:r>
              <w:rPr>
                <w:sz w:val="24"/>
              </w:rPr>
              <w:t xml:space="preserve">Медь</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100</w:t>
            </w:r>
          </w:p>
        </w:tc>
        <w:tc>
          <w:tcPr>
            <w:tcW w:w="2211" w:type="dxa"/>
          </w:tcPr>
          <w:p>
            <w:pPr>
              <w:pStyle w:val="0"/>
              <w:jc w:val="center"/>
            </w:pPr>
            <w:r>
              <w:rPr>
                <w:sz w:val="24"/>
              </w:rPr>
              <w:t xml:space="preserve">200</w:t>
            </w:r>
          </w:p>
        </w:tc>
      </w:tr>
      <w:tr>
        <w:tc>
          <w:tcPr>
            <w:tcW w:w="3118" w:type="dxa"/>
          </w:tcPr>
          <w:p>
            <w:pPr>
              <w:pStyle w:val="0"/>
            </w:pPr>
            <w:r>
              <w:rPr>
                <w:sz w:val="24"/>
              </w:rPr>
              <w:t xml:space="preserve">Молибден</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Олово</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Ртуть</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Свинец</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100</w:t>
            </w:r>
          </w:p>
        </w:tc>
        <w:tc>
          <w:tcPr>
            <w:tcW w:w="2211" w:type="dxa"/>
          </w:tcPr>
          <w:p>
            <w:pPr>
              <w:pStyle w:val="0"/>
              <w:jc w:val="center"/>
            </w:pPr>
            <w:r>
              <w:rPr>
                <w:sz w:val="24"/>
              </w:rPr>
              <w:t xml:space="preserve">200</w:t>
            </w:r>
          </w:p>
        </w:tc>
      </w:tr>
      <w:tr>
        <w:tc>
          <w:tcPr>
            <w:tcW w:w="3118" w:type="dxa"/>
          </w:tcPr>
          <w:p>
            <w:pPr>
              <w:pStyle w:val="0"/>
            </w:pPr>
            <w:r>
              <w:rPr>
                <w:sz w:val="24"/>
              </w:rPr>
              <w:t xml:space="preserve">Стронций</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100</w:t>
            </w:r>
          </w:p>
        </w:tc>
        <w:tc>
          <w:tcPr>
            <w:tcW w:w="2211" w:type="dxa"/>
          </w:tcPr>
          <w:p>
            <w:pPr>
              <w:pStyle w:val="0"/>
              <w:jc w:val="center"/>
            </w:pPr>
            <w:r>
              <w:rPr>
                <w:sz w:val="24"/>
              </w:rPr>
              <w:t xml:space="preserve">200</w:t>
            </w:r>
          </w:p>
        </w:tc>
      </w:tr>
      <w:tr>
        <w:tc>
          <w:tcPr>
            <w:tcW w:w="3118" w:type="dxa"/>
          </w:tcPr>
          <w:p>
            <w:pPr>
              <w:pStyle w:val="0"/>
            </w:pPr>
            <w:r>
              <w:rPr>
                <w:sz w:val="24"/>
              </w:rPr>
              <w:t xml:space="preserve">Сурьма</w:t>
            </w:r>
          </w:p>
        </w:tc>
        <w:tc>
          <w:tcPr>
            <w:tcW w:w="1406" w:type="dxa"/>
          </w:tcPr>
          <w:p>
            <w:pPr>
              <w:pStyle w:val="0"/>
              <w:jc w:val="center"/>
            </w:pPr>
            <w:r>
              <w:rPr>
                <w:sz w:val="24"/>
              </w:rPr>
              <w:t xml:space="preserve">тыс. т</w:t>
            </w:r>
          </w:p>
        </w:tc>
        <w:tc>
          <w:tcPr>
            <w:tcW w:w="2324" w:type="dxa"/>
          </w:tcPr>
          <w:p>
            <w:pPr>
              <w:pStyle w:val="0"/>
              <w:jc w:val="center"/>
            </w:pPr>
            <w:r>
              <w:rPr>
                <w:sz w:val="24"/>
              </w:rPr>
              <w:t xml:space="preserve">20</w:t>
            </w:r>
          </w:p>
        </w:tc>
        <w:tc>
          <w:tcPr>
            <w:tcW w:w="2211" w:type="dxa"/>
          </w:tcPr>
          <w:p>
            <w:pPr>
              <w:pStyle w:val="0"/>
              <w:jc w:val="center"/>
            </w:pPr>
            <w:r>
              <w:rPr>
                <w:sz w:val="24"/>
              </w:rPr>
              <w:t xml:space="preserve">40</w:t>
            </w:r>
          </w:p>
        </w:tc>
      </w:tr>
      <w:tr>
        <w:tc>
          <w:tcPr>
            <w:tcW w:w="3118" w:type="dxa"/>
          </w:tcPr>
          <w:p>
            <w:pPr>
              <w:pStyle w:val="0"/>
            </w:pPr>
            <w:r>
              <w:rPr>
                <w:sz w:val="24"/>
              </w:rPr>
              <w:t xml:space="preserve">Титан коренной</w:t>
            </w:r>
          </w:p>
        </w:tc>
        <w:tc>
          <w:tcPr>
            <w:tcW w:w="1406"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2324" w:type="dxa"/>
          </w:tcPr>
          <w:p>
            <w:pPr>
              <w:pStyle w:val="0"/>
              <w:jc w:val="center"/>
            </w:pPr>
            <w:r>
              <w:rPr>
                <w:sz w:val="24"/>
              </w:rPr>
              <w:t xml:space="preserve">5</w:t>
            </w:r>
          </w:p>
        </w:tc>
        <w:tc>
          <w:tcPr>
            <w:tcW w:w="2211" w:type="dxa"/>
          </w:tcPr>
          <w:p>
            <w:pPr>
              <w:pStyle w:val="0"/>
              <w:jc w:val="center"/>
            </w:pPr>
            <w:r>
              <w:rPr>
                <w:sz w:val="24"/>
              </w:rPr>
              <w:t xml:space="preserve">10</w:t>
            </w:r>
          </w:p>
        </w:tc>
      </w:tr>
      <w:tr>
        <w:tc>
          <w:tcPr>
            <w:tcW w:w="3118" w:type="dxa"/>
          </w:tcPr>
          <w:p>
            <w:pPr>
              <w:pStyle w:val="0"/>
            </w:pPr>
            <w:r>
              <w:rPr>
                <w:sz w:val="24"/>
              </w:rPr>
              <w:t xml:space="preserve">Титан россыпной</w:t>
            </w:r>
          </w:p>
        </w:tc>
        <w:tc>
          <w:tcPr>
            <w:tcW w:w="1406"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Цезий (оксид)</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Цинк</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100</w:t>
            </w:r>
          </w:p>
        </w:tc>
        <w:tc>
          <w:tcPr>
            <w:tcW w:w="2211" w:type="dxa"/>
          </w:tcPr>
          <w:p>
            <w:pPr>
              <w:pStyle w:val="0"/>
              <w:jc w:val="center"/>
            </w:pPr>
            <w:r>
              <w:rPr>
                <w:sz w:val="24"/>
              </w:rPr>
              <w:t xml:space="preserve">200</w:t>
            </w:r>
          </w:p>
        </w:tc>
      </w:tr>
      <w:tr>
        <w:tc>
          <w:tcPr>
            <w:tcW w:w="3118" w:type="dxa"/>
          </w:tcPr>
          <w:p>
            <w:pPr>
              <w:pStyle w:val="0"/>
            </w:pPr>
            <w:r>
              <w:rPr>
                <w:sz w:val="24"/>
              </w:rPr>
              <w:t xml:space="preserve">Цирконий</w:t>
            </w:r>
          </w:p>
        </w:tc>
        <w:tc>
          <w:tcPr>
            <w:tcW w:w="1406" w:type="dxa"/>
          </w:tcPr>
          <w:p>
            <w:pPr>
              <w:pStyle w:val="0"/>
              <w:jc w:val="center"/>
            </w:pPr>
            <w:r>
              <w:rPr>
                <w:sz w:val="24"/>
              </w:rPr>
              <w:t xml:space="preserve">млн. т</w:t>
            </w:r>
          </w:p>
          <w:p>
            <w:pPr>
              <w:pStyle w:val="0"/>
              <w:jc w:val="center"/>
            </w:pPr>
            <w:r>
              <w:rPr>
                <w:sz w:val="24"/>
              </w:rPr>
              <w:t xml:space="preserve">ZrO</w:t>
            </w:r>
            <w:r>
              <w:rPr>
                <w:sz w:val="24"/>
                <w:vertAlign w:val="subscript"/>
              </w:rPr>
              <w:t xml:space="preserve">2</w:t>
            </w:r>
          </w:p>
        </w:tc>
        <w:tc>
          <w:tcPr>
            <w:tcW w:w="2324" w:type="dxa"/>
          </w:tcPr>
          <w:p>
            <w:pPr>
              <w:pStyle w:val="0"/>
              <w:jc w:val="center"/>
            </w:pPr>
            <w:r>
              <w:rPr>
                <w:sz w:val="24"/>
              </w:rPr>
              <w:t xml:space="preserve">0,5</w:t>
            </w:r>
          </w:p>
        </w:tc>
        <w:tc>
          <w:tcPr>
            <w:tcW w:w="2211" w:type="dxa"/>
          </w:tcPr>
          <w:p>
            <w:pPr>
              <w:pStyle w:val="0"/>
              <w:jc w:val="center"/>
            </w:pPr>
            <w:r>
              <w:rPr>
                <w:sz w:val="24"/>
              </w:rPr>
              <w:t xml:space="preserve">1</w:t>
            </w:r>
          </w:p>
        </w:tc>
      </w:tr>
      <w:tr>
        <w:tc>
          <w:tcPr>
            <w:gridSpan w:val="3"/>
            <w:tcW w:w="6848" w:type="dxa"/>
          </w:tcPr>
          <w:p>
            <w:pPr>
              <w:pStyle w:val="0"/>
              <w:outlineLvl w:val="2"/>
            </w:pPr>
            <w:r>
              <w:rPr>
                <w:sz w:val="24"/>
              </w:rPr>
              <w:t xml:space="preserve">V. Благородные металлы</w:t>
            </w:r>
          </w:p>
        </w:tc>
        <w:tc>
          <w:tcPr>
            <w:tcW w:w="2211" w:type="dxa"/>
          </w:tcPr>
          <w:p>
            <w:pPr>
              <w:pStyle w:val="0"/>
            </w:pPr>
            <w:r>
              <w:rPr>
                <w:sz w:val="24"/>
              </w:rPr>
            </w:r>
          </w:p>
        </w:tc>
      </w:tr>
      <w:tr>
        <w:tc>
          <w:tcPr>
            <w:tcW w:w="3118" w:type="dxa"/>
          </w:tcPr>
          <w:p>
            <w:pPr>
              <w:pStyle w:val="0"/>
            </w:pPr>
            <w:r>
              <w:rPr>
                <w:sz w:val="24"/>
              </w:rPr>
              <w:t xml:space="preserve">Золото коренное</w:t>
            </w:r>
          </w:p>
        </w:tc>
        <w:tc>
          <w:tcPr>
            <w:tcW w:w="1406" w:type="dxa"/>
          </w:tcPr>
          <w:p>
            <w:pPr>
              <w:pStyle w:val="0"/>
              <w:jc w:val="center"/>
            </w:pPr>
            <w:r>
              <w:rPr>
                <w:sz w:val="24"/>
              </w:rPr>
              <w:t xml:space="preserve">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Золото россыпное</w:t>
            </w:r>
          </w:p>
        </w:tc>
        <w:tc>
          <w:tcPr>
            <w:tcW w:w="1406" w:type="dxa"/>
          </w:tcPr>
          <w:p>
            <w:pPr>
              <w:pStyle w:val="0"/>
              <w:jc w:val="center"/>
            </w:pPr>
            <w:r>
              <w:rPr>
                <w:sz w:val="24"/>
              </w:rPr>
              <w:t xml:space="preserve">т</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Серебро</w:t>
            </w:r>
          </w:p>
        </w:tc>
        <w:tc>
          <w:tcPr>
            <w:tcW w:w="1406" w:type="dxa"/>
          </w:tcPr>
          <w:p>
            <w:pPr>
              <w:pStyle w:val="0"/>
              <w:jc w:val="center"/>
            </w:pPr>
            <w:r>
              <w:rPr>
                <w:sz w:val="24"/>
              </w:rPr>
              <w:t xml:space="preserve">т</w:t>
            </w:r>
          </w:p>
        </w:tc>
        <w:tc>
          <w:tcPr>
            <w:tcW w:w="2324" w:type="dxa"/>
          </w:tcPr>
          <w:p>
            <w:pPr>
              <w:pStyle w:val="0"/>
              <w:jc w:val="center"/>
            </w:pPr>
            <w:r>
              <w:rPr>
                <w:sz w:val="24"/>
              </w:rPr>
              <w:t xml:space="preserve">1000</w:t>
            </w:r>
          </w:p>
        </w:tc>
        <w:tc>
          <w:tcPr>
            <w:tcW w:w="2211" w:type="dxa"/>
          </w:tcPr>
          <w:p>
            <w:pPr>
              <w:pStyle w:val="0"/>
              <w:jc w:val="center"/>
            </w:pPr>
            <w:r>
              <w:rPr>
                <w:sz w:val="24"/>
              </w:rPr>
              <w:t xml:space="preserve">2000</w:t>
            </w:r>
          </w:p>
        </w:tc>
      </w:tr>
      <w:tr>
        <w:tc>
          <w:tcPr>
            <w:gridSpan w:val="4"/>
            <w:tcW w:w="9059" w:type="dxa"/>
          </w:tcPr>
          <w:p>
            <w:pPr>
              <w:pStyle w:val="0"/>
              <w:outlineLvl w:val="2"/>
            </w:pPr>
            <w:r>
              <w:rPr>
                <w:sz w:val="24"/>
              </w:rPr>
              <w:t xml:space="preserve">VI. Промышленные воды - гидроминеральное сырье, обеспечивающие производство:</w:t>
            </w:r>
          </w:p>
        </w:tc>
      </w:tr>
      <w:tr>
        <w:tc>
          <w:tcPr>
            <w:tcW w:w="3118" w:type="dxa"/>
          </w:tcPr>
          <w:p>
            <w:pPr>
              <w:pStyle w:val="0"/>
            </w:pPr>
            <w:r>
              <w:rPr>
                <w:sz w:val="24"/>
              </w:rPr>
              <w:t xml:space="preserve">Йод</w:t>
            </w:r>
          </w:p>
        </w:tc>
        <w:tc>
          <w:tcPr>
            <w:tcW w:w="1406" w:type="dxa"/>
          </w:tcPr>
          <w:p>
            <w:pPr>
              <w:pStyle w:val="0"/>
              <w:jc w:val="center"/>
            </w:pPr>
            <w:r>
              <w:rPr>
                <w:sz w:val="24"/>
              </w:rPr>
              <w:t xml:space="preserve">т/год</w:t>
            </w:r>
          </w:p>
        </w:tc>
        <w:tc>
          <w:tcPr>
            <w:tcW w:w="2324" w:type="dxa"/>
          </w:tcPr>
          <w:p>
            <w:pPr>
              <w:pStyle w:val="0"/>
              <w:jc w:val="center"/>
            </w:pPr>
            <w:r>
              <w:rPr>
                <w:sz w:val="24"/>
              </w:rPr>
              <w:t xml:space="preserve">100</w:t>
            </w:r>
          </w:p>
        </w:tc>
        <w:tc>
          <w:tcPr>
            <w:tcW w:w="2211" w:type="dxa"/>
          </w:tcPr>
          <w:p>
            <w:pPr>
              <w:pStyle w:val="0"/>
              <w:jc w:val="center"/>
            </w:pPr>
            <w:r>
              <w:rPr>
                <w:sz w:val="24"/>
              </w:rPr>
              <w:t xml:space="preserve">500</w:t>
            </w:r>
          </w:p>
        </w:tc>
      </w:tr>
      <w:tr>
        <w:tc>
          <w:tcPr>
            <w:tcW w:w="3118" w:type="dxa"/>
          </w:tcPr>
          <w:p>
            <w:pPr>
              <w:pStyle w:val="0"/>
            </w:pPr>
            <w:r>
              <w:rPr>
                <w:sz w:val="24"/>
              </w:rPr>
              <w:t xml:space="preserve">Бром</w:t>
            </w:r>
          </w:p>
        </w:tc>
        <w:tc>
          <w:tcPr>
            <w:tcW w:w="1406" w:type="dxa"/>
          </w:tcPr>
          <w:p>
            <w:pPr>
              <w:pStyle w:val="0"/>
              <w:jc w:val="center"/>
            </w:pPr>
            <w:r>
              <w:rPr>
                <w:sz w:val="24"/>
              </w:rPr>
              <w:t xml:space="preserve">т/год</w:t>
            </w:r>
          </w:p>
        </w:tc>
        <w:tc>
          <w:tcPr>
            <w:tcW w:w="2324" w:type="dxa"/>
          </w:tcPr>
          <w:p>
            <w:pPr>
              <w:pStyle w:val="0"/>
              <w:jc w:val="center"/>
            </w:pPr>
            <w:r>
              <w:rPr>
                <w:sz w:val="24"/>
              </w:rPr>
              <w:t xml:space="preserve">1000</w:t>
            </w:r>
          </w:p>
        </w:tc>
        <w:tc>
          <w:tcPr>
            <w:tcW w:w="2211" w:type="dxa"/>
          </w:tcPr>
          <w:p>
            <w:pPr>
              <w:pStyle w:val="0"/>
              <w:jc w:val="center"/>
            </w:pPr>
            <w:r>
              <w:rPr>
                <w:sz w:val="24"/>
              </w:rPr>
              <w:t xml:space="preserve">2000</w:t>
            </w:r>
          </w:p>
        </w:tc>
      </w:tr>
      <w:tr>
        <w:tc>
          <w:tcPr>
            <w:gridSpan w:val="4"/>
            <w:tcW w:w="9059" w:type="dxa"/>
          </w:tcPr>
          <w:p>
            <w:pPr>
              <w:pStyle w:val="0"/>
              <w:outlineLvl w:val="2"/>
            </w:pPr>
            <w:r>
              <w:rPr>
                <w:sz w:val="24"/>
              </w:rPr>
              <w:t xml:space="preserve">VII. Горно-химическое сырье без ограничений, кроме</w:t>
            </w:r>
          </w:p>
        </w:tc>
      </w:tr>
      <w:tr>
        <w:tc>
          <w:tcPr>
            <w:tcW w:w="3118" w:type="dxa"/>
          </w:tcPr>
          <w:p>
            <w:pPr>
              <w:pStyle w:val="0"/>
            </w:pPr>
            <w:r>
              <w:rPr>
                <w:sz w:val="24"/>
              </w:rPr>
              <w:t xml:space="preserve">Апатиты и фосфориты</w:t>
            </w:r>
          </w:p>
        </w:tc>
        <w:tc>
          <w:tcPr>
            <w:tcW w:w="1406" w:type="dxa"/>
            <w:vAlign w:val="center"/>
          </w:tcPr>
          <w:p>
            <w:pPr>
              <w:pStyle w:val="0"/>
              <w:jc w:val="center"/>
            </w:pPr>
            <w:r>
              <w:rPr>
                <w:sz w:val="24"/>
              </w:rPr>
              <w:t xml:space="preserve">млн. т</w:t>
            </w:r>
          </w:p>
          <w:p>
            <w:pPr>
              <w:pStyle w:val="0"/>
              <w:jc w:val="center"/>
            </w:pPr>
            <w:r>
              <w:rPr>
                <w:sz w:val="24"/>
              </w:rPr>
              <w:t xml:space="preserve">P</w:t>
            </w:r>
            <w:r>
              <w:rPr>
                <w:sz w:val="24"/>
                <w:vertAlign w:val="subscript"/>
              </w:rPr>
              <w:t xml:space="preserve">2</w:t>
            </w:r>
            <w:r>
              <w:rPr>
                <w:sz w:val="24"/>
              </w:rPr>
              <w:t xml:space="preserve">O</w:t>
            </w:r>
            <w:r>
              <w:rPr>
                <w:sz w:val="24"/>
                <w:vertAlign w:val="subscript"/>
              </w:rPr>
              <w:t xml:space="preserve">5</w:t>
            </w:r>
          </w:p>
        </w:tc>
        <w:tc>
          <w:tcPr>
            <w:tcW w:w="2324" w:type="dxa"/>
          </w:tcPr>
          <w:p>
            <w:pPr>
              <w:pStyle w:val="0"/>
              <w:jc w:val="center"/>
            </w:pPr>
            <w:r>
              <w:rPr>
                <w:sz w:val="24"/>
              </w:rPr>
              <w:t xml:space="preserve">20</w:t>
            </w:r>
          </w:p>
        </w:tc>
        <w:tc>
          <w:tcPr>
            <w:tcW w:w="2211" w:type="dxa"/>
          </w:tcPr>
          <w:p>
            <w:pPr>
              <w:pStyle w:val="0"/>
              <w:jc w:val="center"/>
            </w:pPr>
            <w:r>
              <w:rPr>
                <w:sz w:val="24"/>
              </w:rPr>
              <w:t xml:space="preserve">40</w:t>
            </w:r>
          </w:p>
        </w:tc>
      </w:tr>
      <w:tr>
        <w:tc>
          <w:tcPr>
            <w:tcW w:w="3118" w:type="dxa"/>
          </w:tcPr>
          <w:p>
            <w:pPr>
              <w:pStyle w:val="0"/>
            </w:pPr>
            <w:r>
              <w:rPr>
                <w:sz w:val="24"/>
              </w:rPr>
              <w:t xml:space="preserve">Борные руды</w:t>
            </w:r>
          </w:p>
        </w:tc>
        <w:tc>
          <w:tcPr>
            <w:tcW w:w="1406" w:type="dxa"/>
            <w:vAlign w:val="center"/>
          </w:tcPr>
          <w:p>
            <w:pPr>
              <w:pStyle w:val="0"/>
              <w:jc w:val="center"/>
            </w:pPr>
            <w:r>
              <w:rPr>
                <w:sz w:val="24"/>
              </w:rPr>
              <w:t xml:space="preserve">млн. т</w:t>
            </w:r>
          </w:p>
          <w:p>
            <w:pPr>
              <w:pStyle w:val="0"/>
              <w:jc w:val="center"/>
            </w:pPr>
            <w:r>
              <w:rPr>
                <w:sz w:val="24"/>
              </w:rPr>
              <w:t xml:space="preserve">BO</w:t>
            </w:r>
            <w:r>
              <w:rPr>
                <w:sz w:val="24"/>
                <w:vertAlign w:val="subscript"/>
              </w:rPr>
              <w:t xml:space="preserve">3</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Калийные соли</w:t>
            </w:r>
          </w:p>
        </w:tc>
        <w:tc>
          <w:tcPr>
            <w:tcW w:w="1406" w:type="dxa"/>
          </w:tcPr>
          <w:p>
            <w:pPr>
              <w:pStyle w:val="0"/>
              <w:jc w:val="center"/>
            </w:pPr>
            <w:r>
              <w:rPr>
                <w:sz w:val="24"/>
              </w:rPr>
              <w:t xml:space="preserve">млн. т</w:t>
            </w:r>
          </w:p>
        </w:tc>
        <w:tc>
          <w:tcPr>
            <w:tcW w:w="2324" w:type="dxa"/>
          </w:tcPr>
          <w:p>
            <w:pPr>
              <w:pStyle w:val="0"/>
              <w:jc w:val="center"/>
            </w:pPr>
            <w:r>
              <w:rPr>
                <w:sz w:val="24"/>
              </w:rPr>
              <w:t xml:space="preserve">200</w:t>
            </w:r>
          </w:p>
        </w:tc>
        <w:tc>
          <w:tcPr>
            <w:tcW w:w="2211" w:type="dxa"/>
          </w:tcPr>
          <w:p>
            <w:pPr>
              <w:pStyle w:val="0"/>
              <w:jc w:val="center"/>
            </w:pPr>
            <w:r>
              <w:rPr>
                <w:sz w:val="24"/>
              </w:rPr>
              <w:t xml:space="preserve">400</w:t>
            </w:r>
          </w:p>
        </w:tc>
      </w:tr>
      <w:tr>
        <w:tc>
          <w:tcPr>
            <w:tcW w:w="3118" w:type="dxa"/>
          </w:tcPr>
          <w:p>
            <w:pPr>
              <w:pStyle w:val="0"/>
            </w:pPr>
            <w:r>
              <w:rPr>
                <w:sz w:val="24"/>
              </w:rPr>
              <w:t xml:space="preserve">Сера самородная</w:t>
            </w:r>
          </w:p>
        </w:tc>
        <w:tc>
          <w:tcPr>
            <w:tcW w:w="1406" w:type="dxa"/>
          </w:tcPr>
          <w:p>
            <w:pPr>
              <w:pStyle w:val="0"/>
              <w:jc w:val="center"/>
            </w:pPr>
            <w:r>
              <w:rPr>
                <w:sz w:val="24"/>
              </w:rPr>
              <w:t xml:space="preserve">млн. т</w:t>
            </w:r>
          </w:p>
        </w:tc>
        <w:tc>
          <w:tcPr>
            <w:tcW w:w="2324" w:type="dxa"/>
          </w:tcPr>
          <w:p>
            <w:pPr>
              <w:pStyle w:val="0"/>
              <w:jc w:val="center"/>
            </w:pPr>
            <w:r>
              <w:rPr>
                <w:sz w:val="24"/>
              </w:rPr>
              <w:t xml:space="preserve">5</w:t>
            </w:r>
          </w:p>
        </w:tc>
        <w:tc>
          <w:tcPr>
            <w:tcW w:w="2211" w:type="dxa"/>
          </w:tcPr>
          <w:p>
            <w:pPr>
              <w:pStyle w:val="0"/>
              <w:jc w:val="center"/>
            </w:pPr>
            <w:r>
              <w:rPr>
                <w:sz w:val="24"/>
              </w:rPr>
              <w:t xml:space="preserve">10</w:t>
            </w:r>
          </w:p>
        </w:tc>
      </w:tr>
      <w:tr>
        <w:tc>
          <w:tcPr>
            <w:tcW w:w="3118" w:type="dxa"/>
          </w:tcPr>
          <w:p>
            <w:pPr>
              <w:pStyle w:val="0"/>
            </w:pPr>
            <w:r>
              <w:rPr>
                <w:sz w:val="24"/>
              </w:rPr>
              <w:t xml:space="preserve">Сода природная</w:t>
            </w:r>
          </w:p>
        </w:tc>
        <w:tc>
          <w:tcPr>
            <w:tcW w:w="1406" w:type="dxa"/>
          </w:tcPr>
          <w:p>
            <w:pPr>
              <w:pStyle w:val="0"/>
              <w:jc w:val="center"/>
            </w:pPr>
            <w:r>
              <w:rPr>
                <w:sz w:val="24"/>
              </w:rPr>
              <w:t xml:space="preserve">млн. т</w:t>
            </w:r>
          </w:p>
        </w:tc>
        <w:tc>
          <w:tcPr>
            <w:tcW w:w="2324" w:type="dxa"/>
          </w:tcPr>
          <w:p>
            <w:pPr>
              <w:pStyle w:val="0"/>
              <w:jc w:val="center"/>
            </w:pPr>
            <w:r>
              <w:rPr>
                <w:sz w:val="24"/>
              </w:rPr>
              <w:t xml:space="preserve">5</w:t>
            </w:r>
          </w:p>
        </w:tc>
        <w:tc>
          <w:tcPr>
            <w:tcW w:w="2211" w:type="dxa"/>
          </w:tcPr>
          <w:p>
            <w:pPr>
              <w:pStyle w:val="0"/>
              <w:jc w:val="center"/>
            </w:pPr>
            <w:r>
              <w:rPr>
                <w:sz w:val="24"/>
              </w:rPr>
              <w:t xml:space="preserve">10</w:t>
            </w:r>
          </w:p>
        </w:tc>
      </w:tr>
      <w:tr>
        <w:tc>
          <w:tcPr>
            <w:tcW w:w="3118" w:type="dxa"/>
          </w:tcPr>
          <w:p>
            <w:pPr>
              <w:pStyle w:val="0"/>
            </w:pPr>
            <w:r>
              <w:rPr>
                <w:sz w:val="24"/>
              </w:rPr>
              <w:t xml:space="preserve">Соли поваренные</w:t>
            </w:r>
          </w:p>
        </w:tc>
        <w:tc>
          <w:tcPr>
            <w:tcW w:w="1406" w:type="dxa"/>
          </w:tcPr>
          <w:p>
            <w:pPr>
              <w:pStyle w:val="0"/>
              <w:jc w:val="center"/>
            </w:pPr>
            <w:r>
              <w:rPr>
                <w:sz w:val="24"/>
              </w:rPr>
              <w:t xml:space="preserve">млн. т</w:t>
            </w:r>
          </w:p>
        </w:tc>
        <w:tc>
          <w:tcPr>
            <w:tcW w:w="2324" w:type="dxa"/>
          </w:tcPr>
          <w:p>
            <w:pPr>
              <w:pStyle w:val="0"/>
              <w:jc w:val="center"/>
            </w:pPr>
            <w:r>
              <w:rPr>
                <w:sz w:val="24"/>
              </w:rPr>
              <w:t xml:space="preserve">200</w:t>
            </w:r>
          </w:p>
        </w:tc>
        <w:tc>
          <w:tcPr>
            <w:tcW w:w="2211" w:type="dxa"/>
          </w:tcPr>
          <w:p>
            <w:pPr>
              <w:pStyle w:val="0"/>
              <w:jc w:val="center"/>
            </w:pPr>
            <w:r>
              <w:rPr>
                <w:sz w:val="24"/>
              </w:rPr>
              <w:t xml:space="preserve">400</w:t>
            </w:r>
          </w:p>
        </w:tc>
      </w:tr>
      <w:tr>
        <w:tc>
          <w:tcPr>
            <w:tcW w:w="3118" w:type="dxa"/>
          </w:tcPr>
          <w:p>
            <w:pPr>
              <w:pStyle w:val="0"/>
            </w:pPr>
            <w:r>
              <w:rPr>
                <w:sz w:val="24"/>
              </w:rPr>
              <w:t xml:space="preserve">Магниевые соли (бишофит)</w:t>
            </w:r>
          </w:p>
        </w:tc>
        <w:tc>
          <w:tcPr>
            <w:tcW w:w="1406" w:type="dxa"/>
          </w:tcPr>
          <w:p>
            <w:pPr>
              <w:pStyle w:val="0"/>
              <w:jc w:val="center"/>
            </w:pPr>
            <w:r>
              <w:rPr>
                <w:sz w:val="24"/>
              </w:rPr>
              <w:t xml:space="preserve">млн. т</w:t>
            </w:r>
          </w:p>
        </w:tc>
        <w:tc>
          <w:tcPr>
            <w:tcW w:w="2324" w:type="dxa"/>
          </w:tcPr>
          <w:p>
            <w:pPr>
              <w:pStyle w:val="0"/>
              <w:jc w:val="center"/>
            </w:pPr>
            <w:r>
              <w:rPr>
                <w:sz w:val="24"/>
              </w:rPr>
              <w:t xml:space="preserve">20</w:t>
            </w:r>
          </w:p>
        </w:tc>
        <w:tc>
          <w:tcPr>
            <w:tcW w:w="2211" w:type="dxa"/>
          </w:tcPr>
          <w:p>
            <w:pPr>
              <w:pStyle w:val="0"/>
              <w:jc w:val="center"/>
            </w:pPr>
            <w:r>
              <w:rPr>
                <w:sz w:val="24"/>
              </w:rPr>
              <w:t xml:space="preserve">40</w:t>
            </w:r>
          </w:p>
        </w:tc>
      </w:tr>
      <w:tr>
        <w:tc>
          <w:tcPr>
            <w:tcW w:w="3118" w:type="dxa"/>
          </w:tcPr>
          <w:p>
            <w:pPr>
              <w:pStyle w:val="0"/>
            </w:pPr>
            <w:r>
              <w:rPr>
                <w:sz w:val="24"/>
              </w:rPr>
              <w:t xml:space="preserve">Сульфат натрия</w:t>
            </w:r>
          </w:p>
        </w:tc>
        <w:tc>
          <w:tcPr>
            <w:tcW w:w="1406" w:type="dxa"/>
          </w:tcPr>
          <w:p>
            <w:pPr>
              <w:pStyle w:val="0"/>
              <w:jc w:val="center"/>
            </w:pPr>
            <w:r>
              <w:rPr>
                <w:sz w:val="24"/>
              </w:rPr>
              <w:t xml:space="preserve">млн. т</w:t>
            </w:r>
          </w:p>
        </w:tc>
        <w:tc>
          <w:tcPr>
            <w:tcW w:w="2324" w:type="dxa"/>
          </w:tcPr>
          <w:p>
            <w:pPr>
              <w:pStyle w:val="0"/>
              <w:jc w:val="center"/>
            </w:pPr>
            <w:r>
              <w:rPr>
                <w:sz w:val="24"/>
              </w:rPr>
              <w:t xml:space="preserve">5</w:t>
            </w:r>
          </w:p>
        </w:tc>
        <w:tc>
          <w:tcPr>
            <w:tcW w:w="2211" w:type="dxa"/>
          </w:tcPr>
          <w:p>
            <w:pPr>
              <w:pStyle w:val="0"/>
              <w:jc w:val="center"/>
            </w:pPr>
            <w:r>
              <w:rPr>
                <w:sz w:val="24"/>
              </w:rPr>
              <w:t xml:space="preserve">10</w:t>
            </w:r>
          </w:p>
        </w:tc>
      </w:tr>
      <w:tr>
        <w:tc>
          <w:tcPr>
            <w:gridSpan w:val="4"/>
            <w:tcW w:w="9059" w:type="dxa"/>
          </w:tcPr>
          <w:p>
            <w:pPr>
              <w:pStyle w:val="0"/>
              <w:outlineLvl w:val="2"/>
            </w:pPr>
            <w:r>
              <w:rPr>
                <w:sz w:val="24"/>
              </w:rPr>
              <w:t xml:space="preserve">VIII. Горнорудное сырье и нерудное сырье без ограничений, кроме</w:t>
            </w:r>
          </w:p>
        </w:tc>
      </w:tr>
      <w:tr>
        <w:tc>
          <w:tcPr>
            <w:tcW w:w="3118" w:type="dxa"/>
          </w:tcPr>
          <w:p>
            <w:pPr>
              <w:pStyle w:val="0"/>
            </w:pPr>
            <w:r>
              <w:rPr>
                <w:sz w:val="24"/>
              </w:rPr>
              <w:t xml:space="preserve">Асбест хризотиловый</w:t>
            </w:r>
          </w:p>
        </w:tc>
        <w:tc>
          <w:tcPr>
            <w:tcW w:w="1406" w:type="dxa"/>
          </w:tcPr>
          <w:p>
            <w:pPr>
              <w:pStyle w:val="0"/>
              <w:jc w:val="center"/>
            </w:pPr>
            <w:r>
              <w:rPr>
                <w:sz w:val="24"/>
              </w:rPr>
              <w:t xml:space="preserve">млн. т</w:t>
            </w:r>
          </w:p>
        </w:tc>
        <w:tc>
          <w:tcPr>
            <w:tcW w:w="2324" w:type="dxa"/>
          </w:tcPr>
          <w:p>
            <w:pPr>
              <w:pStyle w:val="0"/>
              <w:jc w:val="center"/>
            </w:pPr>
            <w:r>
              <w:rPr>
                <w:sz w:val="24"/>
              </w:rPr>
              <w:t xml:space="preserve">5</w:t>
            </w:r>
          </w:p>
        </w:tc>
        <w:tc>
          <w:tcPr>
            <w:tcW w:w="2211" w:type="dxa"/>
          </w:tcPr>
          <w:p>
            <w:pPr>
              <w:pStyle w:val="0"/>
              <w:jc w:val="center"/>
            </w:pPr>
            <w:r>
              <w:rPr>
                <w:sz w:val="24"/>
              </w:rPr>
              <w:t xml:space="preserve">10</w:t>
            </w:r>
          </w:p>
        </w:tc>
      </w:tr>
      <w:tr>
        <w:tc>
          <w:tcPr>
            <w:tcW w:w="3118" w:type="dxa"/>
          </w:tcPr>
          <w:p>
            <w:pPr>
              <w:pStyle w:val="0"/>
            </w:pPr>
            <w:r>
              <w:rPr>
                <w:sz w:val="24"/>
              </w:rPr>
              <w:t xml:space="preserve">Асбест антофиллитовый</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Асбест амфиболитовый</w:t>
            </w:r>
          </w:p>
        </w:tc>
        <w:tc>
          <w:tcPr>
            <w:tcW w:w="1406" w:type="dxa"/>
          </w:tcPr>
          <w:p>
            <w:pPr>
              <w:pStyle w:val="0"/>
              <w:jc w:val="center"/>
            </w:pPr>
            <w:r>
              <w:rPr>
                <w:sz w:val="24"/>
              </w:rPr>
              <w:t xml:space="preserve">тыс. т</w:t>
            </w:r>
          </w:p>
        </w:tc>
        <w:tc>
          <w:tcPr>
            <w:tcW w:w="2324" w:type="dxa"/>
          </w:tcPr>
          <w:p>
            <w:pPr>
              <w:pStyle w:val="0"/>
              <w:jc w:val="center"/>
            </w:pPr>
            <w:r>
              <w:rPr>
                <w:sz w:val="24"/>
              </w:rPr>
              <w:t xml:space="preserve">2</w:t>
            </w:r>
          </w:p>
        </w:tc>
        <w:tc>
          <w:tcPr>
            <w:tcW w:w="2211" w:type="dxa"/>
          </w:tcPr>
          <w:p>
            <w:pPr>
              <w:pStyle w:val="0"/>
              <w:jc w:val="center"/>
            </w:pPr>
            <w:r>
              <w:rPr>
                <w:sz w:val="24"/>
              </w:rPr>
              <w:t xml:space="preserve">4</w:t>
            </w:r>
          </w:p>
        </w:tc>
      </w:tr>
      <w:tr>
        <w:tc>
          <w:tcPr>
            <w:tcW w:w="3118" w:type="dxa"/>
          </w:tcPr>
          <w:p>
            <w:pPr>
              <w:pStyle w:val="0"/>
            </w:pPr>
            <w:r>
              <w:rPr>
                <w:sz w:val="24"/>
              </w:rPr>
              <w:t xml:space="preserve">Барит</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Брусит</w:t>
            </w:r>
          </w:p>
        </w:tc>
        <w:tc>
          <w:tcPr>
            <w:tcW w:w="1406" w:type="dxa"/>
          </w:tcPr>
          <w:p>
            <w:pPr>
              <w:pStyle w:val="0"/>
              <w:jc w:val="center"/>
            </w:pPr>
            <w:r>
              <w:rPr>
                <w:sz w:val="24"/>
              </w:rPr>
              <w:t xml:space="preserve">млн. т</w:t>
            </w:r>
          </w:p>
        </w:tc>
        <w:tc>
          <w:tcPr>
            <w:tcW w:w="2324" w:type="dxa"/>
          </w:tcPr>
          <w:p>
            <w:pPr>
              <w:pStyle w:val="0"/>
              <w:jc w:val="center"/>
            </w:pPr>
            <w:r>
              <w:rPr>
                <w:sz w:val="24"/>
              </w:rPr>
              <w:t xml:space="preserve">2</w:t>
            </w:r>
          </w:p>
        </w:tc>
        <w:tc>
          <w:tcPr>
            <w:tcW w:w="2211" w:type="dxa"/>
          </w:tcPr>
          <w:p>
            <w:pPr>
              <w:pStyle w:val="0"/>
              <w:jc w:val="center"/>
            </w:pPr>
            <w:r>
              <w:rPr>
                <w:sz w:val="24"/>
              </w:rPr>
              <w:t xml:space="preserve">4</w:t>
            </w:r>
          </w:p>
        </w:tc>
      </w:tr>
      <w:tr>
        <w:tc>
          <w:tcPr>
            <w:tcW w:w="3118" w:type="dxa"/>
          </w:tcPr>
          <w:p>
            <w:pPr>
              <w:pStyle w:val="0"/>
            </w:pPr>
            <w:r>
              <w:rPr>
                <w:sz w:val="24"/>
              </w:rPr>
              <w:t xml:space="preserve">Волластонит</w:t>
            </w:r>
          </w:p>
        </w:tc>
        <w:tc>
          <w:tcPr>
            <w:tcW w:w="1406" w:type="dxa"/>
          </w:tcPr>
          <w:p>
            <w:pPr>
              <w:pStyle w:val="0"/>
              <w:jc w:val="center"/>
            </w:pPr>
            <w:r>
              <w:rPr>
                <w:sz w:val="24"/>
              </w:rPr>
              <w:t xml:space="preserve">млн. м</w:t>
            </w:r>
            <w:r>
              <w:rPr>
                <w:sz w:val="24"/>
                <w:vertAlign w:val="superscript"/>
              </w:rPr>
              <w:t xml:space="preserve">3</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Графит</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Тальк, тальковый камень</w:t>
            </w:r>
          </w:p>
        </w:tc>
        <w:tc>
          <w:tcPr>
            <w:tcW w:w="1406" w:type="dxa"/>
          </w:tcPr>
          <w:p>
            <w:pPr>
              <w:pStyle w:val="0"/>
              <w:jc w:val="center"/>
            </w:pPr>
            <w:r>
              <w:rPr>
                <w:sz w:val="24"/>
              </w:rPr>
              <w:t xml:space="preserve">млн. т</w:t>
            </w:r>
          </w:p>
        </w:tc>
        <w:tc>
          <w:tcPr>
            <w:tcW w:w="2324" w:type="dxa"/>
          </w:tcPr>
          <w:p>
            <w:pPr>
              <w:pStyle w:val="0"/>
              <w:jc w:val="center"/>
            </w:pPr>
            <w:r>
              <w:rPr>
                <w:sz w:val="24"/>
              </w:rPr>
              <w:t xml:space="preserve">2</w:t>
            </w:r>
          </w:p>
        </w:tc>
        <w:tc>
          <w:tcPr>
            <w:tcW w:w="2211" w:type="dxa"/>
          </w:tcPr>
          <w:p>
            <w:pPr>
              <w:pStyle w:val="0"/>
              <w:jc w:val="center"/>
            </w:pPr>
            <w:r>
              <w:rPr>
                <w:sz w:val="24"/>
              </w:rPr>
              <w:t xml:space="preserve">4</w:t>
            </w:r>
          </w:p>
        </w:tc>
      </w:tr>
      <w:tr>
        <w:tc>
          <w:tcPr>
            <w:tcW w:w="3118" w:type="dxa"/>
          </w:tcPr>
          <w:p>
            <w:pPr>
              <w:pStyle w:val="0"/>
            </w:pPr>
            <w:r>
              <w:rPr>
                <w:sz w:val="24"/>
              </w:rPr>
              <w:t xml:space="preserve">Каолины</w:t>
            </w:r>
          </w:p>
        </w:tc>
        <w:tc>
          <w:tcPr>
            <w:tcW w:w="1406" w:type="dxa"/>
          </w:tcPr>
          <w:p>
            <w:pPr>
              <w:pStyle w:val="0"/>
              <w:jc w:val="center"/>
            </w:pPr>
            <w:r>
              <w:rPr>
                <w:sz w:val="24"/>
              </w:rPr>
              <w:t xml:space="preserve">млн. т</w:t>
            </w:r>
          </w:p>
        </w:tc>
        <w:tc>
          <w:tcPr>
            <w:tcW w:w="2324" w:type="dxa"/>
          </w:tcPr>
          <w:p>
            <w:pPr>
              <w:pStyle w:val="0"/>
              <w:jc w:val="center"/>
            </w:pPr>
            <w:r>
              <w:rPr>
                <w:sz w:val="24"/>
              </w:rPr>
              <w:t xml:space="preserve">5</w:t>
            </w:r>
          </w:p>
        </w:tc>
        <w:tc>
          <w:tcPr>
            <w:tcW w:w="2211" w:type="dxa"/>
          </w:tcPr>
          <w:p>
            <w:pPr>
              <w:pStyle w:val="0"/>
              <w:jc w:val="center"/>
            </w:pPr>
            <w:r>
              <w:rPr>
                <w:sz w:val="24"/>
              </w:rPr>
              <w:t xml:space="preserve">10</w:t>
            </w:r>
          </w:p>
        </w:tc>
      </w:tr>
      <w:tr>
        <w:tc>
          <w:tcPr>
            <w:tcW w:w="3118" w:type="dxa"/>
          </w:tcPr>
          <w:p>
            <w:pPr>
              <w:pStyle w:val="0"/>
            </w:pPr>
            <w:r>
              <w:rPr>
                <w:sz w:val="24"/>
              </w:rPr>
              <w:t xml:space="preserve">Магнезит</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Мраморы (архитектурно-строительные, поделочные и статуарные)</w:t>
            </w:r>
          </w:p>
        </w:tc>
        <w:tc>
          <w:tcPr>
            <w:tcW w:w="1406" w:type="dxa"/>
          </w:tcPr>
          <w:p>
            <w:pPr>
              <w:pStyle w:val="0"/>
              <w:jc w:val="center"/>
            </w:pPr>
            <w:r>
              <w:rPr>
                <w:sz w:val="24"/>
              </w:rPr>
              <w:t xml:space="preserve">млн. т</w:t>
            </w:r>
          </w:p>
        </w:tc>
        <w:tc>
          <w:tcPr>
            <w:tcW w:w="2324" w:type="dxa"/>
          </w:tcPr>
          <w:p>
            <w:pPr>
              <w:pStyle w:val="0"/>
              <w:jc w:val="center"/>
            </w:pPr>
            <w:r>
              <w:rPr>
                <w:sz w:val="24"/>
              </w:rPr>
              <w:t xml:space="preserve">0,5</w:t>
            </w:r>
          </w:p>
        </w:tc>
        <w:tc>
          <w:tcPr>
            <w:tcW w:w="2211" w:type="dxa"/>
          </w:tcPr>
          <w:p>
            <w:pPr>
              <w:pStyle w:val="0"/>
              <w:jc w:val="center"/>
            </w:pPr>
            <w:r>
              <w:rPr>
                <w:sz w:val="24"/>
              </w:rPr>
              <w:t xml:space="preserve">1</w:t>
            </w:r>
          </w:p>
        </w:tc>
      </w:tr>
      <w:tr>
        <w:tc>
          <w:tcPr>
            <w:tcW w:w="3118" w:type="dxa"/>
          </w:tcPr>
          <w:p>
            <w:pPr>
              <w:pStyle w:val="0"/>
            </w:pPr>
            <w:r>
              <w:rPr>
                <w:sz w:val="24"/>
              </w:rPr>
              <w:t xml:space="preserve">Пески стекольные, формовочные</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Плавиковый шпат</w:t>
            </w:r>
          </w:p>
        </w:tc>
        <w:tc>
          <w:tcPr>
            <w:tcW w:w="1406" w:type="dxa"/>
          </w:tcPr>
          <w:p>
            <w:pPr>
              <w:pStyle w:val="0"/>
              <w:jc w:val="center"/>
            </w:pPr>
            <w:r>
              <w:rPr>
                <w:sz w:val="24"/>
              </w:rPr>
              <w:t xml:space="preserve">млн. т</w:t>
            </w:r>
          </w:p>
        </w:tc>
        <w:tc>
          <w:tcPr>
            <w:tcW w:w="2324" w:type="dxa"/>
          </w:tcPr>
          <w:p>
            <w:pPr>
              <w:pStyle w:val="0"/>
              <w:jc w:val="center"/>
            </w:pPr>
            <w:r>
              <w:rPr>
                <w:sz w:val="24"/>
              </w:rPr>
              <w:t xml:space="preserve">1</w:t>
            </w:r>
          </w:p>
        </w:tc>
        <w:tc>
          <w:tcPr>
            <w:tcW w:w="2211" w:type="dxa"/>
          </w:tcPr>
          <w:p>
            <w:pPr>
              <w:pStyle w:val="0"/>
              <w:jc w:val="center"/>
            </w:pPr>
            <w:r>
              <w:rPr>
                <w:sz w:val="24"/>
              </w:rPr>
              <w:t xml:space="preserve">3</w:t>
            </w:r>
          </w:p>
        </w:tc>
      </w:tr>
      <w:tr>
        <w:tc>
          <w:tcPr>
            <w:tcW w:w="3118" w:type="dxa"/>
          </w:tcPr>
          <w:p>
            <w:pPr>
              <w:pStyle w:val="0"/>
            </w:pPr>
            <w:r>
              <w:rPr>
                <w:sz w:val="24"/>
              </w:rPr>
              <w:t xml:space="preserve">Слюда-мусковит</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w:t>
            </w:r>
          </w:p>
        </w:tc>
        <w:tc>
          <w:tcPr>
            <w:tcW w:w="2211" w:type="dxa"/>
          </w:tcPr>
          <w:p>
            <w:pPr>
              <w:pStyle w:val="0"/>
              <w:jc w:val="center"/>
            </w:pPr>
            <w:r>
              <w:rPr>
                <w:sz w:val="24"/>
              </w:rPr>
              <w:t xml:space="preserve">20</w:t>
            </w:r>
          </w:p>
        </w:tc>
      </w:tr>
      <w:tr>
        <w:tc>
          <w:tcPr>
            <w:tcW w:w="3118" w:type="dxa"/>
          </w:tcPr>
          <w:p>
            <w:pPr>
              <w:pStyle w:val="0"/>
            </w:pPr>
            <w:r>
              <w:rPr>
                <w:sz w:val="24"/>
              </w:rPr>
              <w:t xml:space="preserve">Слюда-флогопит и вермикулит</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w:t>
            </w:r>
          </w:p>
        </w:tc>
        <w:tc>
          <w:tcPr>
            <w:tcW w:w="2211" w:type="dxa"/>
          </w:tcPr>
          <w:p>
            <w:pPr>
              <w:pStyle w:val="0"/>
              <w:jc w:val="center"/>
            </w:pPr>
            <w:r>
              <w:rPr>
                <w:sz w:val="24"/>
              </w:rPr>
              <w:t xml:space="preserve">2</w:t>
            </w:r>
          </w:p>
        </w:tc>
      </w:tr>
      <w:tr>
        <w:tc>
          <w:tcPr>
            <w:tcW w:w="3118" w:type="dxa"/>
          </w:tcPr>
          <w:p>
            <w:pPr>
              <w:pStyle w:val="0"/>
            </w:pPr>
            <w:r>
              <w:rPr>
                <w:sz w:val="24"/>
              </w:rPr>
              <w:t xml:space="preserve">Цеолиты</w:t>
            </w:r>
          </w:p>
        </w:tc>
        <w:tc>
          <w:tcPr>
            <w:tcW w:w="1406" w:type="dxa"/>
          </w:tcPr>
          <w:p>
            <w:pPr>
              <w:pStyle w:val="0"/>
              <w:jc w:val="center"/>
            </w:pPr>
            <w:r>
              <w:rPr>
                <w:sz w:val="24"/>
              </w:rPr>
              <w:t xml:space="preserve">тыс. т</w:t>
            </w:r>
          </w:p>
        </w:tc>
        <w:tc>
          <w:tcPr>
            <w:tcW w:w="2324" w:type="dxa"/>
          </w:tcPr>
          <w:p>
            <w:pPr>
              <w:pStyle w:val="0"/>
              <w:jc w:val="center"/>
            </w:pPr>
            <w:r>
              <w:rPr>
                <w:sz w:val="24"/>
              </w:rPr>
              <w:t xml:space="preserve">100</w:t>
            </w:r>
          </w:p>
        </w:tc>
        <w:tc>
          <w:tcPr>
            <w:tcW w:w="2211" w:type="dxa"/>
          </w:tcPr>
          <w:p>
            <w:pPr>
              <w:pStyle w:val="0"/>
              <w:jc w:val="center"/>
            </w:pPr>
            <w:r>
              <w:rPr>
                <w:sz w:val="24"/>
              </w:rPr>
              <w:t xml:space="preserve">200</w:t>
            </w:r>
          </w:p>
        </w:tc>
      </w:tr>
      <w:tr>
        <w:tc>
          <w:tcPr>
            <w:gridSpan w:val="4"/>
            <w:tcW w:w="9059" w:type="dxa"/>
          </w:tcPr>
          <w:p>
            <w:pPr>
              <w:pStyle w:val="0"/>
              <w:outlineLvl w:val="2"/>
            </w:pPr>
            <w:r>
              <w:rPr>
                <w:sz w:val="24"/>
              </w:rPr>
              <w:t xml:space="preserve">IX. Камнесамоцветное, кварцевое и пьезооптическое сырье</w:t>
            </w:r>
          </w:p>
        </w:tc>
      </w:tr>
      <w:tr>
        <w:tc>
          <w:tcPr>
            <w:tcW w:w="3118" w:type="dxa"/>
          </w:tcPr>
          <w:p>
            <w:pPr>
              <w:pStyle w:val="0"/>
            </w:pPr>
            <w:r>
              <w:rPr>
                <w:sz w:val="24"/>
              </w:rPr>
              <w:t xml:space="preserve">Поделочные камни: змеевик, оникс мраморный, офикальцит, яшма</w:t>
            </w:r>
          </w:p>
        </w:tc>
        <w:tc>
          <w:tcPr>
            <w:tcW w:w="1406" w:type="dxa"/>
          </w:tcPr>
          <w:p>
            <w:pPr>
              <w:pStyle w:val="0"/>
              <w:jc w:val="center"/>
            </w:pPr>
            <w:r>
              <w:rPr>
                <w:sz w:val="24"/>
              </w:rPr>
              <w:t xml:space="preserve">т</w:t>
            </w:r>
          </w:p>
        </w:tc>
        <w:tc>
          <w:tcPr>
            <w:tcW w:w="2324" w:type="dxa"/>
          </w:tcPr>
          <w:p>
            <w:pPr>
              <w:pStyle w:val="0"/>
              <w:jc w:val="center"/>
            </w:pPr>
            <w:r>
              <w:rPr>
                <w:sz w:val="24"/>
              </w:rPr>
              <w:t xml:space="preserve">1000</w:t>
            </w:r>
          </w:p>
        </w:tc>
        <w:tc>
          <w:tcPr>
            <w:tcW w:w="2211" w:type="dxa"/>
          </w:tcPr>
          <w:p>
            <w:pPr>
              <w:pStyle w:val="0"/>
              <w:jc w:val="center"/>
            </w:pPr>
            <w:r>
              <w:rPr>
                <w:sz w:val="24"/>
              </w:rPr>
              <w:t xml:space="preserve">1000</w:t>
            </w:r>
          </w:p>
        </w:tc>
      </w:tr>
      <w:tr>
        <w:tc>
          <w:tcPr>
            <w:gridSpan w:val="4"/>
            <w:tcW w:w="9059" w:type="dxa"/>
          </w:tcPr>
          <w:p>
            <w:pPr>
              <w:pStyle w:val="0"/>
              <w:outlineLvl w:val="2"/>
            </w:pPr>
            <w:r>
              <w:rPr>
                <w:sz w:val="24"/>
              </w:rPr>
              <w:t xml:space="preserve">X. Подземные воды и лечебные минеральные ресурсы</w:t>
            </w:r>
          </w:p>
        </w:tc>
      </w:tr>
      <w:tr>
        <w:tc>
          <w:tcPr>
            <w:tcW w:w="3118" w:type="dxa"/>
          </w:tcPr>
          <w:p>
            <w:pPr>
              <w:pStyle w:val="0"/>
            </w:pPr>
            <w:r>
              <w:rPr>
                <w:sz w:val="24"/>
              </w:rPr>
              <w:t xml:space="preserve">Питьевые и технические подземные воды:</w:t>
            </w:r>
          </w:p>
        </w:tc>
        <w:tc>
          <w:tcPr>
            <w:tcW w:w="1406" w:type="dxa"/>
          </w:tcPr>
          <w:p>
            <w:pPr>
              <w:pStyle w:val="0"/>
              <w:jc w:val="center"/>
            </w:pPr>
            <w:r>
              <w:rPr>
                <w:sz w:val="24"/>
              </w:rPr>
              <w:t xml:space="preserve">м</w:t>
            </w:r>
            <w:r>
              <w:rPr>
                <w:sz w:val="24"/>
                <w:vertAlign w:val="superscript"/>
              </w:rPr>
              <w:t xml:space="preserve">3</w:t>
            </w:r>
            <w:r>
              <w:rPr>
                <w:sz w:val="24"/>
              </w:rPr>
              <w:t xml:space="preserve">/сут.</w:t>
            </w:r>
          </w:p>
        </w:tc>
        <w:tc>
          <w:tcPr>
            <w:tcW w:w="2324" w:type="dxa"/>
          </w:tcPr>
          <w:p>
            <w:pPr>
              <w:pStyle w:val="0"/>
              <w:jc w:val="center"/>
            </w:pPr>
            <w:r>
              <w:rPr>
                <w:sz w:val="24"/>
              </w:rPr>
              <w:t xml:space="preserve">100 000</w:t>
            </w:r>
          </w:p>
        </w:tc>
        <w:tc>
          <w:tcPr>
            <w:tcW w:w="2211" w:type="dxa"/>
          </w:tcPr>
          <w:p>
            <w:pPr>
              <w:pStyle w:val="0"/>
              <w:jc w:val="center"/>
            </w:pPr>
            <w:r>
              <w:rPr>
                <w:sz w:val="24"/>
              </w:rPr>
              <w:t xml:space="preserve">100 000</w:t>
            </w:r>
          </w:p>
        </w:tc>
      </w:tr>
      <w:tr>
        <w:tc>
          <w:tcPr>
            <w:tcW w:w="3118" w:type="dxa"/>
          </w:tcPr>
          <w:p>
            <w:pPr>
              <w:pStyle w:val="0"/>
            </w:pPr>
            <w:r>
              <w:rPr>
                <w:sz w:val="24"/>
              </w:rPr>
              <w:t xml:space="preserve">Подземная минеральная вода</w:t>
            </w:r>
          </w:p>
        </w:tc>
        <w:tc>
          <w:tcPr>
            <w:gridSpan w:val="3"/>
            <w:tcW w:w="5941" w:type="dxa"/>
          </w:tcPr>
          <w:p>
            <w:pPr>
              <w:pStyle w:val="0"/>
            </w:pPr>
            <w:r>
              <w:rPr>
                <w:sz w:val="24"/>
              </w:rPr>
              <w:t xml:space="preserve">без ограничений (за исключением случая, указанного в </w:t>
            </w:r>
            <w:hyperlink w:history="0" w:anchor="P74" w:tooltip="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
              <w:r>
                <w:rPr>
                  <w:sz w:val="24"/>
                  <w:color w:val="0000ff"/>
                </w:rPr>
                <w:t xml:space="preserve">подпункте 7 пункта 6</w:t>
              </w:r>
            </w:hyperlink>
            <w:r>
              <w:rPr>
                <w:sz w:val="24"/>
              </w:rPr>
              <w:t xml:space="preserve"> настоящего Порядка)</w:t>
            </w:r>
          </w:p>
        </w:tc>
      </w:tr>
      <w:tr>
        <w:tc>
          <w:tcPr>
            <w:tcW w:w="3118" w:type="dxa"/>
          </w:tcPr>
          <w:p>
            <w:pPr>
              <w:pStyle w:val="0"/>
            </w:pPr>
            <w:r>
              <w:rPr>
                <w:sz w:val="24"/>
              </w:rPr>
              <w:t xml:space="preserve">Лечебная грязь и другие минеральные ресурсы, отнесенные к категории лечебных</w:t>
            </w:r>
          </w:p>
        </w:tc>
        <w:tc>
          <w:tcPr>
            <w:gridSpan w:val="3"/>
            <w:tcW w:w="5941" w:type="dxa"/>
          </w:tcPr>
          <w:p>
            <w:pPr>
              <w:pStyle w:val="0"/>
            </w:pPr>
            <w:r>
              <w:rPr>
                <w:sz w:val="24"/>
              </w:rPr>
              <w:t xml:space="preserve">без ограничений</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751, Роснедр N 10 от 14.10.2021</w:t>
            <w:br/>
            <w:t>(ред. от 17.01.2025)</w:t>
            <w:br/>
            <w:t>"Об утверждении Порядка переоформления 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7868&amp;date=17.10.2025&amp;dst=100007&amp;field=134" TargetMode = "External"/><Relationship Id="rId9" Type="http://schemas.openxmlformats.org/officeDocument/2006/relationships/hyperlink" Target="https://login.consultant.ru/link/?req=doc&amp;base=LAW&amp;n=416596&amp;date=17.10.2025&amp;dst=100015&amp;field=134" TargetMode = "External"/><Relationship Id="rId10" Type="http://schemas.openxmlformats.org/officeDocument/2006/relationships/hyperlink" Target="https://login.consultant.ru/link/?req=doc&amp;base=LAW&amp;n=459120&amp;date=17.10.2025&amp;dst=100015&amp;field=134" TargetMode = "External"/><Relationship Id="rId11" Type="http://schemas.openxmlformats.org/officeDocument/2006/relationships/hyperlink" Target="https://login.consultant.ru/link/?req=doc&amp;base=LAW&amp;n=475282&amp;date=17.10.2025&amp;dst=100015&amp;field=134" TargetMode = "External"/><Relationship Id="rId12" Type="http://schemas.openxmlformats.org/officeDocument/2006/relationships/hyperlink" Target="https://login.consultant.ru/link/?req=doc&amp;base=LAW&amp;n=499018&amp;date=17.10.2025&amp;dst=100015&amp;field=134" TargetMode = "External"/><Relationship Id="rId13" Type="http://schemas.openxmlformats.org/officeDocument/2006/relationships/hyperlink" Target="https://login.consultant.ru/link/?req=doc&amp;base=LAW&amp;n=500138&amp;date=17.10.2025&amp;dst=540&amp;field=134" TargetMode = "External"/><Relationship Id="rId14" Type="http://schemas.openxmlformats.org/officeDocument/2006/relationships/hyperlink" Target="https://login.consultant.ru/link/?req=doc&amp;base=LAW&amp;n=500820&amp;date=17.10.2025&amp;dst=106&amp;field=134" TargetMode = "External"/><Relationship Id="rId15" Type="http://schemas.openxmlformats.org/officeDocument/2006/relationships/hyperlink" Target="https://login.consultant.ru/link/?req=doc&amp;base=LAW&amp;n=393844&amp;date=17.10.2025&amp;dst=100012&amp;field=134" TargetMode = "External"/><Relationship Id="rId16" Type="http://schemas.openxmlformats.org/officeDocument/2006/relationships/hyperlink" Target="https://login.consultant.ru/link/?req=doc&amp;base=LAW&amp;n=477868&amp;date=17.10.2025&amp;dst=100014&amp;field=134" TargetMode = "External"/><Relationship Id="rId17" Type="http://schemas.openxmlformats.org/officeDocument/2006/relationships/hyperlink" Target="https://login.consultant.ru/link/?req=doc&amp;base=LAW&amp;n=477868&amp;date=17.10.2025&amp;dst=100015&amp;field=134" TargetMode = "External"/><Relationship Id="rId18" Type="http://schemas.openxmlformats.org/officeDocument/2006/relationships/hyperlink" Target="https://login.consultant.ru/link/?req=doc&amp;base=LAW&amp;n=416596&amp;date=17.10.2025&amp;dst=100015&amp;field=134" TargetMode = "External"/><Relationship Id="rId19" Type="http://schemas.openxmlformats.org/officeDocument/2006/relationships/hyperlink" Target="https://login.consultant.ru/link/?req=doc&amp;base=LAW&amp;n=459120&amp;date=17.10.2025&amp;dst=100015&amp;field=134" TargetMode = "External"/><Relationship Id="rId20" Type="http://schemas.openxmlformats.org/officeDocument/2006/relationships/hyperlink" Target="https://login.consultant.ru/link/?req=doc&amp;base=LAW&amp;n=475282&amp;date=17.10.2025&amp;dst=100015&amp;field=134" TargetMode = "External"/><Relationship Id="rId21" Type="http://schemas.openxmlformats.org/officeDocument/2006/relationships/hyperlink" Target="https://login.consultant.ru/link/?req=doc&amp;base=LAW&amp;n=499018&amp;date=17.10.2025&amp;dst=100015&amp;field=134" TargetMode = "External"/><Relationship Id="rId22" Type="http://schemas.openxmlformats.org/officeDocument/2006/relationships/hyperlink" Target="https://login.consultant.ru/link/?req=doc&amp;base=LAW&amp;n=500138&amp;date=17.10.2025&amp;dst=540&amp;field=134" TargetMode = "External"/><Relationship Id="rId23" Type="http://schemas.openxmlformats.org/officeDocument/2006/relationships/hyperlink" Target="https://login.consultant.ru/link/?req=doc&amp;base=LAW&amp;n=500138&amp;date=17.10.2025&amp;dst=536&amp;field=134" TargetMode = "External"/><Relationship Id="rId24" Type="http://schemas.openxmlformats.org/officeDocument/2006/relationships/hyperlink" Target="https://login.consultant.ru/link/?req=doc&amp;base=LAW&amp;n=500138&amp;date=17.10.2025&amp;dst=537&amp;field=134" TargetMode = "External"/><Relationship Id="rId25" Type="http://schemas.openxmlformats.org/officeDocument/2006/relationships/hyperlink" Target="https://login.consultant.ru/link/?req=doc&amp;base=LAW&amp;n=500138&amp;date=17.10.2025&amp;dst=453&amp;field=134" TargetMode = "External"/><Relationship Id="rId26" Type="http://schemas.openxmlformats.org/officeDocument/2006/relationships/hyperlink" Target="https://login.consultant.ru/link/?req=doc&amp;base=LAW&amp;n=500138&amp;date=17.10.2025&amp;dst=455&amp;field=134" TargetMode = "External"/><Relationship Id="rId27" Type="http://schemas.openxmlformats.org/officeDocument/2006/relationships/hyperlink" Target="https://login.consultant.ru/link/?req=doc&amp;base=LAW&amp;n=500138&amp;date=17.10.2025&amp;dst=479&amp;field=134" TargetMode = "External"/><Relationship Id="rId28" Type="http://schemas.openxmlformats.org/officeDocument/2006/relationships/hyperlink" Target="https://login.consultant.ru/link/?req=doc&amp;base=LAW&amp;n=500138&amp;date=17.10.2025&amp;dst=481&amp;field=134" TargetMode = "External"/><Relationship Id="rId29" Type="http://schemas.openxmlformats.org/officeDocument/2006/relationships/hyperlink" Target="https://login.consultant.ru/link/?req=doc&amp;base=LAW&amp;n=500138&amp;date=17.10.2025&amp;dst=535&amp;field=134" TargetMode = "External"/><Relationship Id="rId30" Type="http://schemas.openxmlformats.org/officeDocument/2006/relationships/hyperlink" Target="https://login.consultant.ru/link/?req=doc&amp;base=LAW&amp;n=500138&amp;date=17.10.2025&amp;dst=605&amp;field=134" TargetMode = "External"/><Relationship Id="rId31" Type="http://schemas.openxmlformats.org/officeDocument/2006/relationships/hyperlink" Target="https://login.consultant.ru/link/?req=doc&amp;base=LAW&amp;n=500138&amp;date=17.10.2025&amp;dst=100611&amp;field=134" TargetMode = "External"/><Relationship Id="rId32" Type="http://schemas.openxmlformats.org/officeDocument/2006/relationships/hyperlink" Target="https://login.consultant.ru/link/?req=doc&amp;base=LAW&amp;n=500138&amp;date=17.10.2025&amp;dst=634&amp;field=134" TargetMode = "External"/><Relationship Id="rId33" Type="http://schemas.openxmlformats.org/officeDocument/2006/relationships/hyperlink" Target="https://login.consultant.ru/link/?req=doc&amp;base=LAW&amp;n=500138&amp;date=17.10.2025&amp;dst=637&amp;field=134" TargetMode = "External"/><Relationship Id="rId34" Type="http://schemas.openxmlformats.org/officeDocument/2006/relationships/hyperlink" Target="https://login.consultant.ru/link/?req=doc&amp;base=LAW&amp;n=500138&amp;date=17.10.2025&amp;dst=639&amp;field=134" TargetMode = "External"/><Relationship Id="rId35" Type="http://schemas.openxmlformats.org/officeDocument/2006/relationships/hyperlink" Target="https://login.consultant.ru/link/?req=doc&amp;base=LAW&amp;n=500138&amp;date=17.10.2025&amp;dst=640&amp;field=134" TargetMode = "External"/><Relationship Id="rId36" Type="http://schemas.openxmlformats.org/officeDocument/2006/relationships/hyperlink" Target="https://login.consultant.ru/link/?req=doc&amp;base=LAW&amp;n=477868&amp;date=17.10.2025&amp;dst=100016&amp;field=134" TargetMode = "External"/><Relationship Id="rId37" Type="http://schemas.openxmlformats.org/officeDocument/2006/relationships/hyperlink" Target="https://login.consultant.ru/link/?req=doc&amp;base=LAW&amp;n=500096&amp;date=17.10.2025" TargetMode = "External"/><Relationship Id="rId38" Type="http://schemas.openxmlformats.org/officeDocument/2006/relationships/hyperlink" Target="https://login.consultant.ru/link/?req=doc&amp;base=LAW&amp;n=479640&amp;date=17.10.2025" TargetMode = "External"/><Relationship Id="rId39" Type="http://schemas.openxmlformats.org/officeDocument/2006/relationships/hyperlink" Target="https://login.consultant.ru/link/?req=doc&amp;base=LAW&amp;n=370212&amp;date=17.10.2025" TargetMode = "External"/><Relationship Id="rId40" Type="http://schemas.openxmlformats.org/officeDocument/2006/relationships/hyperlink" Target="https://login.consultant.ru/link/?req=doc&amp;base=LAW&amp;n=500138&amp;date=17.10.2025&amp;dst=539&amp;field=134" TargetMode = "External"/><Relationship Id="rId41" Type="http://schemas.openxmlformats.org/officeDocument/2006/relationships/hyperlink" Target="https://login.consultant.ru/link/?req=doc&amp;base=LAW&amp;n=508490&amp;date=17.10.2025&amp;dst=1244&amp;field=134" TargetMode = "External"/><Relationship Id="rId42" Type="http://schemas.openxmlformats.org/officeDocument/2006/relationships/hyperlink" Target="https://login.consultant.ru/link/?req=doc&amp;base=LAW&amp;n=508490&amp;date=17.10.2025&amp;dst=1245&amp;field=134" TargetMode = "External"/><Relationship Id="rId43" Type="http://schemas.openxmlformats.org/officeDocument/2006/relationships/hyperlink" Target="https://login.consultant.ru/link/?req=doc&amp;base=LAW&amp;n=508490&amp;date=17.10.2025&amp;dst=1248&amp;field=134" TargetMode = "External"/><Relationship Id="rId44" Type="http://schemas.openxmlformats.org/officeDocument/2006/relationships/hyperlink" Target="https://login.consultant.ru/link/?req=doc&amp;base=LAW&amp;n=500138&amp;date=17.10.2025&amp;dst=100611&amp;field=134" TargetMode = "External"/><Relationship Id="rId45" Type="http://schemas.openxmlformats.org/officeDocument/2006/relationships/hyperlink" Target="https://login.consultant.ru/link/?req=doc&amp;base=LAW&amp;n=500138&amp;date=17.10.2025&amp;dst=100611&amp;field=134" TargetMode = "External"/><Relationship Id="rId46" Type="http://schemas.openxmlformats.org/officeDocument/2006/relationships/hyperlink" Target="https://login.consultant.ru/link/?req=doc&amp;base=LAW&amp;n=508490&amp;date=17.10.2025&amp;dst=100323&amp;field=134" TargetMode = "External"/><Relationship Id="rId47" Type="http://schemas.openxmlformats.org/officeDocument/2006/relationships/hyperlink" Target="https://login.consultant.ru/link/?req=doc&amp;base=LAW&amp;n=510752&amp;date=17.10.2025&amp;dst=18709&amp;field=134" TargetMode = "External"/><Relationship Id="rId48" Type="http://schemas.openxmlformats.org/officeDocument/2006/relationships/hyperlink" Target="https://login.consultant.ru/link/?req=doc&amp;base=LAW&amp;n=162731&amp;date=17.10.2025&amp;dst=170&amp;field=134" TargetMode = "External"/><Relationship Id="rId49" Type="http://schemas.openxmlformats.org/officeDocument/2006/relationships/hyperlink" Target="https://login.consultant.ru/link/?req=doc&amp;base=LAW&amp;n=508490&amp;date=17.10.2025&amp;dst=10878&amp;field=134" TargetMode = "External"/><Relationship Id="rId50" Type="http://schemas.openxmlformats.org/officeDocument/2006/relationships/hyperlink" Target="https://login.consultant.ru/link/?req=doc&amp;base=LAW&amp;n=508490&amp;date=17.10.2025&amp;dst=10878&amp;field=134" TargetMode = "External"/><Relationship Id="rId51" Type="http://schemas.openxmlformats.org/officeDocument/2006/relationships/hyperlink" Target="https://login.consultant.ru/link/?req=doc&amp;base=LAW&amp;n=508490&amp;date=17.10.2025&amp;dst=10878&amp;field=134" TargetMode = "External"/><Relationship Id="rId52" Type="http://schemas.openxmlformats.org/officeDocument/2006/relationships/hyperlink" Target="https://login.consultant.ru/link/?req=doc&amp;base=LAW&amp;n=508490&amp;date=17.10.2025&amp;dst=1250&amp;field=134" TargetMode = "External"/><Relationship Id="rId53" Type="http://schemas.openxmlformats.org/officeDocument/2006/relationships/hyperlink" Target="https://login.consultant.ru/link/?req=doc&amp;base=LAW&amp;n=500138&amp;date=17.10.2025&amp;dst=730&amp;field=134" TargetMode = "External"/><Relationship Id="rId54" Type="http://schemas.openxmlformats.org/officeDocument/2006/relationships/hyperlink" Target="https://login.consultant.ru/link/?req=doc&amp;base=LAW&amp;n=500138&amp;date=17.10.2025&amp;dst=692&amp;field=134" TargetMode = "External"/><Relationship Id="rId55" Type="http://schemas.openxmlformats.org/officeDocument/2006/relationships/hyperlink" Target="https://login.consultant.ru/link/?req=doc&amp;base=LAW&amp;n=508490&amp;date=17.10.2025&amp;dst=10878&amp;field=134" TargetMode = "External"/><Relationship Id="rId56" Type="http://schemas.openxmlformats.org/officeDocument/2006/relationships/hyperlink" Target="https://login.consultant.ru/link/?req=doc&amp;base=LAW&amp;n=508490&amp;date=17.10.2025&amp;dst=10878&amp;field=134" TargetMode = "External"/><Relationship Id="rId57" Type="http://schemas.openxmlformats.org/officeDocument/2006/relationships/hyperlink" Target="https://login.consultant.ru/link/?req=doc&amp;base=LAW&amp;n=508490&amp;date=17.10.2025&amp;dst=10878&amp;field=134" TargetMode = "External"/><Relationship Id="rId58" Type="http://schemas.openxmlformats.org/officeDocument/2006/relationships/hyperlink" Target="https://login.consultant.ru/link/?req=doc&amp;base=LAW&amp;n=508490&amp;date=17.10.2025&amp;dst=10878&amp;field=134" TargetMode = "External"/><Relationship Id="rId59" Type="http://schemas.openxmlformats.org/officeDocument/2006/relationships/hyperlink" Target="https://login.consultant.ru/link/?req=doc&amp;base=LAW&amp;n=500138&amp;date=17.10.2025&amp;dst=730&amp;field=134" TargetMode = "External"/><Relationship Id="rId60" Type="http://schemas.openxmlformats.org/officeDocument/2006/relationships/hyperlink" Target="https://login.consultant.ru/link/?req=doc&amp;base=LAW&amp;n=500138&amp;date=17.10.2025&amp;dst=692&amp;field=134" TargetMode = "External"/><Relationship Id="rId61" Type="http://schemas.openxmlformats.org/officeDocument/2006/relationships/hyperlink" Target="https://login.consultant.ru/link/?req=doc&amp;base=LAW&amp;n=508490&amp;date=17.10.2025&amp;dst=10878&amp;field=134" TargetMode = "External"/><Relationship Id="rId62" Type="http://schemas.openxmlformats.org/officeDocument/2006/relationships/hyperlink" Target="https://login.consultant.ru/link/?req=doc&amp;base=LAW&amp;n=508490&amp;date=17.10.2025&amp;dst=10878&amp;field=134" TargetMode = "External"/><Relationship Id="rId63" Type="http://schemas.openxmlformats.org/officeDocument/2006/relationships/hyperlink" Target="https://login.consultant.ru/link/?req=doc&amp;base=LAW&amp;n=500138&amp;date=17.10.2025&amp;dst=730&amp;field=134" TargetMode = "External"/><Relationship Id="rId64" Type="http://schemas.openxmlformats.org/officeDocument/2006/relationships/hyperlink" Target="https://login.consultant.ru/link/?req=doc&amp;base=LAW&amp;n=500138&amp;date=17.10.2025&amp;dst=692&amp;field=134" TargetMode = "External"/><Relationship Id="rId65" Type="http://schemas.openxmlformats.org/officeDocument/2006/relationships/hyperlink" Target="https://login.consultant.ru/link/?req=doc&amp;base=LAW&amp;n=508490&amp;date=17.10.2025&amp;dst=10878&amp;field=134" TargetMode = "External"/><Relationship Id="rId66" Type="http://schemas.openxmlformats.org/officeDocument/2006/relationships/hyperlink" Target="https://login.consultant.ru/link/?req=doc&amp;base=LAW&amp;n=500138&amp;date=17.10.2025&amp;dst=260&amp;field=134" TargetMode = "External"/><Relationship Id="rId67" Type="http://schemas.openxmlformats.org/officeDocument/2006/relationships/hyperlink" Target="https://login.consultant.ru/link/?req=doc&amp;base=LAW&amp;n=500138&amp;date=17.10.2025&amp;dst=260&amp;field=134" TargetMode = "External"/><Relationship Id="rId68" Type="http://schemas.openxmlformats.org/officeDocument/2006/relationships/hyperlink" Target="https://login.consultant.ru/link/?req=doc&amp;base=LAW&amp;n=500138&amp;date=17.10.2025&amp;dst=249&amp;field=134" TargetMode = "External"/><Relationship Id="rId69" Type="http://schemas.openxmlformats.org/officeDocument/2006/relationships/hyperlink" Target="https://login.consultant.ru/link/?req=doc&amp;base=LAW&amp;n=500138&amp;date=17.10.2025&amp;dst=1021&amp;field=134" TargetMode = "External"/><Relationship Id="rId70" Type="http://schemas.openxmlformats.org/officeDocument/2006/relationships/hyperlink" Target="https://login.consultant.ru/link/?req=doc&amp;base=LAW&amp;n=500138&amp;date=17.10.2025&amp;dst=1021&amp;field=134" TargetMode = "External"/><Relationship Id="rId71" Type="http://schemas.openxmlformats.org/officeDocument/2006/relationships/hyperlink" Target="https://login.consultant.ru/link/?req=doc&amp;base=LAW&amp;n=477868&amp;date=17.10.2025&amp;dst=100018&amp;field=134" TargetMode = "External"/><Relationship Id="rId72" Type="http://schemas.openxmlformats.org/officeDocument/2006/relationships/hyperlink" Target="https://login.consultant.ru/link/?req=doc&amp;base=LAW&amp;n=500138&amp;date=17.10.2025&amp;dst=730&amp;field=134" TargetMode = "External"/><Relationship Id="rId73" Type="http://schemas.openxmlformats.org/officeDocument/2006/relationships/hyperlink" Target="https://login.consultant.ru/link/?req=doc&amp;base=LAW&amp;n=500138&amp;date=17.10.2025&amp;dst=692&amp;field=134" TargetMode = "External"/><Relationship Id="rId74" Type="http://schemas.openxmlformats.org/officeDocument/2006/relationships/hyperlink" Target="https://login.consultant.ru/link/?req=doc&amp;base=LAW&amp;n=508490&amp;date=17.10.2025&amp;dst=10878&amp;field=134" TargetMode = "External"/><Relationship Id="rId75" Type="http://schemas.openxmlformats.org/officeDocument/2006/relationships/hyperlink" Target="https://login.consultant.ru/link/?req=doc&amp;base=LAW&amp;n=479640&amp;date=17.10.2025" TargetMode = "External"/><Relationship Id="rId76" Type="http://schemas.openxmlformats.org/officeDocument/2006/relationships/hyperlink" Target="https://login.consultant.ru/link/?req=doc&amp;base=LAW&amp;n=508490&amp;date=17.10.2025&amp;dst=10878&amp;field=134" TargetMode = "External"/><Relationship Id="rId77" Type="http://schemas.openxmlformats.org/officeDocument/2006/relationships/hyperlink" Target="https://login.consultant.ru/link/?req=doc&amp;base=LAW&amp;n=370212&amp;date=17.10.2025" TargetMode = "External"/><Relationship Id="rId78" Type="http://schemas.openxmlformats.org/officeDocument/2006/relationships/hyperlink" Target="https://login.consultant.ru/link/?req=doc&amp;base=LAW&amp;n=370212&amp;date=17.10.2025&amp;dst=100149&amp;field=134" TargetMode = "External"/><Relationship Id="rId79" Type="http://schemas.openxmlformats.org/officeDocument/2006/relationships/hyperlink" Target="https://login.consultant.ru/link/?req=doc&amp;base=LAW&amp;n=508490&amp;date=17.10.2025&amp;dst=100323&amp;field=134" TargetMode = "External"/><Relationship Id="rId80" Type="http://schemas.openxmlformats.org/officeDocument/2006/relationships/hyperlink" Target="https://login.consultant.ru/link/?req=doc&amp;base=LAW&amp;n=499018&amp;date=17.10.2025&amp;dst=100015&amp;field=134" TargetMode = "External"/><Relationship Id="rId81" Type="http://schemas.openxmlformats.org/officeDocument/2006/relationships/hyperlink" Target="https://login.consultant.ru/link/?req=doc&amp;base=LAW&amp;n=499495&amp;date=17.10.2025" TargetMode = "External"/><Relationship Id="rId82" Type="http://schemas.openxmlformats.org/officeDocument/2006/relationships/hyperlink" Target="https://login.consultant.ru/link/?req=doc&amp;base=LAW&amp;n=508490&amp;date=17.10.2025&amp;dst=100902&amp;field=134" TargetMode = "External"/><Relationship Id="rId83" Type="http://schemas.openxmlformats.org/officeDocument/2006/relationships/hyperlink" Target="https://login.consultant.ru/link/?req=doc&amp;base=LAW&amp;n=508490&amp;date=17.10.2025&amp;dst=100902&amp;field=134" TargetMode = "External"/><Relationship Id="rId84" Type="http://schemas.openxmlformats.org/officeDocument/2006/relationships/hyperlink" Target="https://login.consultant.ru/link/?req=doc&amp;base=LAW&amp;n=508490&amp;date=17.10.2025&amp;dst=100902&amp;field=134" TargetMode = "External"/><Relationship Id="rId85" Type="http://schemas.openxmlformats.org/officeDocument/2006/relationships/hyperlink" Target="https://login.consultant.ru/link/?req=doc&amp;base=LAW&amp;n=505891&amp;date=17.10.2025" TargetMode = "External"/><Relationship Id="rId86" Type="http://schemas.openxmlformats.org/officeDocument/2006/relationships/hyperlink" Target="https://login.consultant.ru/link/?req=doc&amp;base=LAW&amp;n=500138&amp;date=17.10.2025&amp;dst=623&amp;field=134" TargetMode = "External"/><Relationship Id="rId87" Type="http://schemas.openxmlformats.org/officeDocument/2006/relationships/hyperlink" Target="https://login.consultant.ru/link/?req=doc&amp;base=LAW&amp;n=500138&amp;date=17.10.2025&amp;dst=623&amp;field=134" TargetMode = "External"/><Relationship Id="rId88" Type="http://schemas.openxmlformats.org/officeDocument/2006/relationships/hyperlink" Target="https://login.consultant.ru/link/?req=doc&amp;base=LAW&amp;n=456130&amp;date=17.10.2025&amp;dst=100110&amp;field=134" TargetMode = "External"/><Relationship Id="rId89" Type="http://schemas.openxmlformats.org/officeDocument/2006/relationships/hyperlink" Target="https://login.consultant.ru/link/?req=doc&amp;base=LAW&amp;n=446442&amp;date=17.10.2025&amp;dst=100008&amp;field=134" TargetMode = "External"/><Relationship Id="rId90" Type="http://schemas.openxmlformats.org/officeDocument/2006/relationships/hyperlink" Target="https://login.consultant.ru/link/?req=doc&amp;base=LAW&amp;n=503689&amp;date=17.10.2025" TargetMode = "External"/><Relationship Id="rId91" Type="http://schemas.openxmlformats.org/officeDocument/2006/relationships/hyperlink" Target="https://login.consultant.ru/link/?req=doc&amp;base=LAW&amp;n=503689&amp;date=17.10.2025" TargetMode = "External"/><Relationship Id="rId92" Type="http://schemas.openxmlformats.org/officeDocument/2006/relationships/hyperlink" Target="https://login.consultant.ru/link/?req=doc&amp;base=LAW&amp;n=499934&amp;date=17.10.2025" TargetMode = "External"/><Relationship Id="rId93" Type="http://schemas.openxmlformats.org/officeDocument/2006/relationships/hyperlink" Target="https://login.consultant.ru/link/?req=doc&amp;base=LAW&amp;n=500138&amp;date=17.10.2025&amp;dst=538&amp;field=134" TargetMode = "External"/><Relationship Id="rId94" Type="http://schemas.openxmlformats.org/officeDocument/2006/relationships/hyperlink" Target="https://login.consultant.ru/link/?req=doc&amp;base=LAW&amp;n=510752&amp;date=17.10.2025&amp;dst=18709&amp;field=134" TargetMode = "External"/><Relationship Id="rId95" Type="http://schemas.openxmlformats.org/officeDocument/2006/relationships/hyperlink" Target="https://login.consultant.ru/link/?req=doc&amp;base=LAW&amp;n=477868&amp;date=17.10.2025&amp;dst=100028&amp;field=134" TargetMode = "External"/><Relationship Id="rId96" Type="http://schemas.openxmlformats.org/officeDocument/2006/relationships/hyperlink" Target="https://login.consultant.ru/link/?req=doc&amp;base=LAW&amp;n=371401&amp;date=17.10.2025" TargetMode = "External"/><Relationship Id="rId97" Type="http://schemas.openxmlformats.org/officeDocument/2006/relationships/hyperlink" Target="https://login.consultant.ru/link/?req=doc&amp;base=LAW&amp;n=500138&amp;date=17.10.2025&amp;dst=647&amp;field=134" TargetMode = "External"/><Relationship Id="rId98" Type="http://schemas.openxmlformats.org/officeDocument/2006/relationships/hyperlink" Target="https://login.consultant.ru/link/?req=doc&amp;base=LAW&amp;n=500138&amp;date=17.10.2025&amp;dst=634&amp;field=134" TargetMode = "External"/><Relationship Id="rId99" Type="http://schemas.openxmlformats.org/officeDocument/2006/relationships/hyperlink" Target="https://login.consultant.ru/link/?req=doc&amp;base=LAW&amp;n=500138&amp;date=17.10.2025&amp;dst=637&amp;field=134" TargetMode = "External"/><Relationship Id="rId100" Type="http://schemas.openxmlformats.org/officeDocument/2006/relationships/hyperlink" Target="https://login.consultant.ru/link/?req=doc&amp;base=LAW&amp;n=500138&amp;date=17.10.2025&amp;dst=639&amp;field=134" TargetMode = "External"/><Relationship Id="rId101" Type="http://schemas.openxmlformats.org/officeDocument/2006/relationships/hyperlink" Target="https://login.consultant.ru/link/?req=doc&amp;base=LAW&amp;n=500138&amp;date=17.10.2025&amp;dst=640&amp;field=134" TargetMode = "External"/><Relationship Id="rId102" Type="http://schemas.openxmlformats.org/officeDocument/2006/relationships/hyperlink" Target="https://login.consultant.ru/link/?req=doc&amp;base=LAW&amp;n=477868&amp;date=17.10.2025&amp;dst=100029&amp;field=134" TargetMode = "External"/><Relationship Id="rId103" Type="http://schemas.openxmlformats.org/officeDocument/2006/relationships/hyperlink" Target="https://login.consultant.ru/link/?req=doc&amp;base=LAW&amp;n=477868&amp;date=17.10.2025&amp;dst=100032&amp;field=134" TargetMode = "External"/><Relationship Id="rId104" Type="http://schemas.openxmlformats.org/officeDocument/2006/relationships/hyperlink" Target="https://login.consultant.ru/link/?req=doc&amp;base=LAW&amp;n=477868&amp;date=17.10.2025&amp;dst=100033&amp;field=134" TargetMode = "External"/><Relationship Id="rId105" Type="http://schemas.openxmlformats.org/officeDocument/2006/relationships/hyperlink" Target="https://login.consultant.ru/link/?req=doc&amp;base=LAW&amp;n=500138&amp;date=17.10.2025&amp;dst=623&amp;field=134" TargetMode = "External"/><Relationship Id="rId106" Type="http://schemas.openxmlformats.org/officeDocument/2006/relationships/hyperlink" Target="https://login.consultant.ru/link/?req=doc&amp;base=LAW&amp;n=500138&amp;date=17.10.2025&amp;dst=627&amp;field=134" TargetMode = "External"/><Relationship Id="rId107" Type="http://schemas.openxmlformats.org/officeDocument/2006/relationships/hyperlink" Target="https://login.consultant.ru/link/?req=doc&amp;base=LAW&amp;n=500138&amp;date=17.10.2025&amp;dst=623&amp;field=134" TargetMode = "External"/><Relationship Id="rId108" Type="http://schemas.openxmlformats.org/officeDocument/2006/relationships/hyperlink" Target="https://login.consultant.ru/link/?req=doc&amp;base=LAW&amp;n=500138&amp;date=17.10.2025&amp;dst=627&amp;field=134" TargetMode = "External"/><Relationship Id="rId109" Type="http://schemas.openxmlformats.org/officeDocument/2006/relationships/hyperlink" Target="https://login.consultant.ru/link/?req=doc&amp;base=LAW&amp;n=500138&amp;date=17.10.2025&amp;dst=623&amp;field=134" TargetMode = "External"/><Relationship Id="rId110" Type="http://schemas.openxmlformats.org/officeDocument/2006/relationships/hyperlink" Target="https://login.consultant.ru/link/?req=doc&amp;base=LAW&amp;n=500138&amp;date=17.10.2025&amp;dst=623&amp;field=134" TargetMode = "External"/><Relationship Id="rId111" Type="http://schemas.openxmlformats.org/officeDocument/2006/relationships/hyperlink" Target="https://login.consultant.ru/link/?req=doc&amp;base=LAW&amp;n=500138&amp;date=17.10.2025&amp;dst=623&amp;field=134" TargetMode = "External"/><Relationship Id="rId112" Type="http://schemas.openxmlformats.org/officeDocument/2006/relationships/hyperlink" Target="https://login.consultant.ru/link/?req=doc&amp;base=LAW&amp;n=446442&amp;date=17.10.2025&amp;dst=100060&amp;field=134" TargetMode = "External"/><Relationship Id="rId113" Type="http://schemas.openxmlformats.org/officeDocument/2006/relationships/hyperlink" Target="https://login.consultant.ru/link/?req=doc&amp;base=LAW&amp;n=500138&amp;date=17.10.2025&amp;dst=623&amp;field=134" TargetMode = "External"/><Relationship Id="rId114" Type="http://schemas.openxmlformats.org/officeDocument/2006/relationships/hyperlink" Target="https://login.consultant.ru/link/?req=doc&amp;base=LAW&amp;n=500138&amp;date=17.10.2025&amp;dst=623&amp;field=134" TargetMode = "External"/><Relationship Id="rId115" Type="http://schemas.openxmlformats.org/officeDocument/2006/relationships/hyperlink" Target="https://login.consultant.ru/link/?req=doc&amp;base=LAW&amp;n=500138&amp;date=17.10.2025&amp;dst=627&amp;field=134" TargetMode = "External"/><Relationship Id="rId116" Type="http://schemas.openxmlformats.org/officeDocument/2006/relationships/hyperlink" Target="https://login.consultant.ru/link/?req=doc&amp;base=LAW&amp;n=500138&amp;date=17.10.2025&amp;dst=623&amp;field=134" TargetMode = "External"/><Relationship Id="rId117" Type="http://schemas.openxmlformats.org/officeDocument/2006/relationships/hyperlink" Target="https://login.consultant.ru/link/?req=doc&amp;base=LAW&amp;n=456130&amp;date=17.10.2025" TargetMode = "External"/><Relationship Id="rId118" Type="http://schemas.openxmlformats.org/officeDocument/2006/relationships/hyperlink" Target="https://login.consultant.ru/link/?req=doc&amp;base=LAW&amp;n=500138&amp;date=17.10.2025&amp;dst=627&amp;field=134" TargetMode = "External"/><Relationship Id="rId119" Type="http://schemas.openxmlformats.org/officeDocument/2006/relationships/hyperlink" Target="https://login.consultant.ru/link/?req=doc&amp;base=LAW&amp;n=508490&amp;date=17.10.2025&amp;dst=101922&amp;field=134" TargetMode = "External"/><Relationship Id="rId120" Type="http://schemas.openxmlformats.org/officeDocument/2006/relationships/hyperlink" Target="https://login.consultant.ru/link/?req=doc&amp;base=LAW&amp;n=500138&amp;date=17.10.2025&amp;dst=615&amp;field=134" TargetMode = "External"/><Relationship Id="rId121" Type="http://schemas.openxmlformats.org/officeDocument/2006/relationships/hyperlink" Target="https://login.consultant.ru/link/?req=doc&amp;base=LAW&amp;n=503689&amp;date=17.10.2025" TargetMode = "External"/><Relationship Id="rId122" Type="http://schemas.openxmlformats.org/officeDocument/2006/relationships/hyperlink" Target="https://login.consultant.ru/link/?req=doc&amp;base=LAW&amp;n=500138&amp;date=17.10.2025&amp;dst=540&amp;field=134" TargetMode = "External"/><Relationship Id="rId123" Type="http://schemas.openxmlformats.org/officeDocument/2006/relationships/hyperlink" Target="https://login.consultant.ru/link/?req=doc&amp;base=LAW&amp;n=500138&amp;date=17.10.2025&amp;dst=1003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751, Роснедр N 10 от 14.10.2021
(ред. от 17.01.2025)
"Об утверждении Порядка переоформления лицензий на пользование недрами"
(Зарегистрировано в Минюсте России 10.12.2021 N 66280)</dc:title>
  <dcterms:created xsi:type="dcterms:W3CDTF">2025-10-17T08:32:05Z</dcterms:created>
</cp:coreProperties>
</file>