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N 743, Роснедр N 08 от 13.10.2021</w:t>
              <w:br/>
              <w:t xml:space="preserve">"Об утверждении Порядка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w:t>
              <w:br/>
              <w:t xml:space="preserve">(Зарегистрировано в Минюсте России 13.12.2021 N 66305)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13 декабря 2021 г. N 66305</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743</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08</w:t>
      </w:r>
    </w:p>
    <w:p>
      <w:pPr>
        <w:pStyle w:val="2"/>
        <w:jc w:val="center"/>
      </w:pPr>
      <w:r>
        <w:rPr>
          <w:sz w:val="24"/>
        </w:rPr>
      </w:r>
    </w:p>
    <w:p>
      <w:pPr>
        <w:pStyle w:val="2"/>
        <w:jc w:val="center"/>
      </w:pPr>
      <w:r>
        <w:rPr>
          <w:sz w:val="24"/>
        </w:rPr>
        <w:t xml:space="preserve">ПРИКАЗ</w:t>
      </w:r>
    </w:p>
    <w:p>
      <w:pPr>
        <w:pStyle w:val="2"/>
        <w:jc w:val="center"/>
      </w:pPr>
      <w:r>
        <w:rPr>
          <w:sz w:val="24"/>
        </w:rPr>
        <w:t xml:space="preserve">от 13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ПРЕКРАЩЕНИЯ ПРАВА ПОЛЬЗОВАНИЯ НЕДРАМИ, В ТОМ ЧИСЛЕ</w:t>
      </w:r>
    </w:p>
    <w:p>
      <w:pPr>
        <w:pStyle w:val="2"/>
        <w:jc w:val="center"/>
      </w:pPr>
      <w:r>
        <w:rPr>
          <w:sz w:val="24"/>
        </w:rPr>
        <w:t xml:space="preserve">ДОСРОЧНОГО, ПРИОСТАНОВЛЕНИЯ ОСУЩЕСТВЛЕНИЯ ПРАВА ПОЛЬЗОВАНИЯ</w:t>
      </w:r>
    </w:p>
    <w:p>
      <w:pPr>
        <w:pStyle w:val="2"/>
        <w:jc w:val="center"/>
      </w:pPr>
      <w:r>
        <w:rPr>
          <w:sz w:val="24"/>
        </w:rPr>
        <w:t xml:space="preserve">НЕДРАМИ И ОГРАНИЧЕНИЯ ПРАВА ПОЛЬЗОВАНИЯ НЕДРАМИ</w:t>
      </w:r>
    </w:p>
    <w:p>
      <w:pPr>
        <w:pStyle w:val="0"/>
        <w:jc w:val="both"/>
      </w:pPr>
      <w:r>
        <w:rPr>
          <w:sz w:val="24"/>
        </w:rPr>
      </w:r>
    </w:p>
    <w:p>
      <w:pPr>
        <w:pStyle w:val="0"/>
        <w:ind w:firstLine="540"/>
        <w:jc w:val="both"/>
      </w:pPr>
      <w:r>
        <w:rPr>
          <w:sz w:val="24"/>
        </w:rPr>
        <w:t xml:space="preserve">В соответствии с </w:t>
      </w:r>
      <w:hyperlink w:history="0" r:id="rId8" w:tooltip="Закон РФ от 21.02.1992 N 2395-1 (ред. от 31.07.2025) &quot;О недрах&quot; {КонсультантПлюс}">
        <w:r>
          <w:rPr>
            <w:sz w:val="24"/>
            <w:color w:val="0000ff"/>
          </w:rPr>
          <w:t xml:space="preserve">частью девятой статьи 21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9"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5.2.8.3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0"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41" w:tooltip="ПОРЯДОК">
        <w:r>
          <w:rPr>
            <w:sz w:val="24"/>
            <w:color w:val="0000ff"/>
          </w:rPr>
          <w:t xml:space="preserve">Порядок</w:t>
        </w:r>
      </w:hyperlink>
      <w:r>
        <w:rPr>
          <w:sz w:val="24"/>
        </w:rPr>
        <w:t xml:space="preserve">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w:t>
      </w:r>
    </w:p>
    <w:p>
      <w:pPr>
        <w:pStyle w:val="0"/>
        <w:spacing w:before="240" w:lineRule="auto"/>
        <w:ind w:firstLine="540"/>
        <w:jc w:val="both"/>
      </w:pPr>
      <w:r>
        <w:rPr>
          <w:sz w:val="24"/>
        </w:rPr>
        <w:t xml:space="preserve">2. Настоящий приказ вступает в силу 1 января 2022 г.</w:t>
      </w:r>
    </w:p>
    <w:p>
      <w:pPr>
        <w:pStyle w:val="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 агентства</w:t>
      </w:r>
    </w:p>
    <w:p>
      <w:pPr>
        <w:pStyle w:val="0"/>
        <w:jc w:val="right"/>
      </w:pPr>
      <w:r>
        <w:rPr>
          <w:sz w:val="24"/>
        </w:rPr>
        <w:t xml:space="preserve">по недропользованию</w:t>
      </w:r>
    </w:p>
    <w:p>
      <w:pPr>
        <w:pStyle w:val="0"/>
        <w:jc w:val="right"/>
      </w:pPr>
      <w:r>
        <w:rPr>
          <w:sz w:val="24"/>
        </w:rPr>
        <w:t xml:space="preserve">Е.И.ПЕТРОВ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 и Роснедр</w:t>
      </w:r>
    </w:p>
    <w:p>
      <w:pPr>
        <w:pStyle w:val="0"/>
        <w:jc w:val="right"/>
      </w:pPr>
      <w:r>
        <w:rPr>
          <w:sz w:val="24"/>
        </w:rPr>
        <w:t xml:space="preserve">от 13 октября 2021 г. N 743/08</w:t>
      </w:r>
    </w:p>
    <w:p>
      <w:pPr>
        <w:pStyle w:val="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ПРЕКРАЩЕНИЯ ПРАВА ПОЛЬЗОВАНИЯ НЕДРАМИ, В ТОМ ЧИСЛЕ</w:t>
      </w:r>
    </w:p>
    <w:p>
      <w:pPr>
        <w:pStyle w:val="2"/>
        <w:jc w:val="center"/>
      </w:pPr>
      <w:r>
        <w:rPr>
          <w:sz w:val="24"/>
        </w:rPr>
        <w:t xml:space="preserve">ДОСРОЧНОГО, ПРИОСТАНОВЛЕНИЯ ОСУЩЕСТВЛЕНИЯ ПРАВА ПОЛЬЗОВАНИЯ</w:t>
      </w:r>
    </w:p>
    <w:p>
      <w:pPr>
        <w:pStyle w:val="2"/>
        <w:jc w:val="center"/>
      </w:pPr>
      <w:r>
        <w:rPr>
          <w:sz w:val="24"/>
        </w:rPr>
        <w:t xml:space="preserve">НЕДРАМИ И ОГРАНИЧЕНИЯ ПРАВА ПОЛЬЗОВАНИЯ НЕДРАМИ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регламентирует процедуру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в том числе рассмотрения заявлений о досрочном прекращении права пользования недрами и заявлений о приостановлении осуществления права пользования недрами.</w:t>
      </w:r>
    </w:p>
    <w:p>
      <w:pPr>
        <w:pStyle w:val="0"/>
        <w:spacing w:before="240" w:lineRule="auto"/>
        <w:ind w:firstLine="540"/>
        <w:jc w:val="both"/>
      </w:pPr>
      <w:r>
        <w:rPr>
          <w:sz w:val="24"/>
        </w:rPr>
        <w:t xml:space="preserve">Действие настоящего Порядка не распространяется на прекращение права пользования недрами, в том числе досрочное, приостановление осуществления права пользования недрами и ограничение права пользования недрами в отношении участков недр местного значения.</w:t>
      </w:r>
    </w:p>
    <w:p>
      <w:pPr>
        <w:pStyle w:val="0"/>
        <w:spacing w:before="240" w:lineRule="auto"/>
        <w:ind w:firstLine="540"/>
        <w:jc w:val="both"/>
      </w:pPr>
      <w:r>
        <w:rPr>
          <w:sz w:val="24"/>
        </w:rPr>
        <w:t xml:space="preserve">Заявления на досрочное прекращение права пользования недрами и заявления на приостановление осуществления права пользования недрами (далее - заявление), представленные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p>
      <w:pPr>
        <w:pStyle w:val="0"/>
        <w:spacing w:before="240" w:lineRule="auto"/>
        <w:ind w:firstLine="540"/>
        <w:jc w:val="both"/>
      </w:pPr>
      <w:r>
        <w:rPr>
          <w:sz w:val="24"/>
        </w:rPr>
        <w:t xml:space="preserve">2. В соответствии с </w:t>
      </w:r>
      <w:hyperlink w:history="0" r:id="rId11" w:tooltip="Закон РФ от 21.02.1992 N 2395-1 (ред. от 31.07.2025) &quot;О недрах&quot; {КонсультантПлюс}">
        <w:r>
          <w:rPr>
            <w:sz w:val="24"/>
            <w:color w:val="0000ff"/>
          </w:rPr>
          <w:t xml:space="preserve">частью первой статьи 21</w:t>
        </w:r>
      </w:hyperlink>
      <w:r>
        <w:rPr>
          <w:sz w:val="24"/>
        </w:rPr>
        <w:t xml:space="preserve"> Закона Российской Федерации "О недрах" от 21 февраля 1992 г. N 2395-1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агентством по недропользованию или его территориальным органом (далее - Комиссия).</w:t>
      </w:r>
    </w:p>
    <w:p>
      <w:pPr>
        <w:pStyle w:val="0"/>
        <w:spacing w:before="240" w:lineRule="auto"/>
        <w:ind w:firstLine="540"/>
        <w:jc w:val="both"/>
      </w:pPr>
      <w:r>
        <w:rPr>
          <w:sz w:val="24"/>
        </w:rPr>
        <w:t xml:space="preserve">3.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и его подведомственных учреждений, а также Федеральной службы по надзору в сфере природопользования.</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территориального органа Федеральной службы по надзору в сфере природопользования, а также представители Федерального агентства по недропользованию (по представлению Федерального агентства по недропользованию).</w:t>
      </w:r>
    </w:p>
    <w:bookmarkStart w:id="55" w:name="P55"/>
    <w:bookmarkEnd w:id="55"/>
    <w:p>
      <w:pPr>
        <w:pStyle w:val="0"/>
        <w:spacing w:before="240" w:lineRule="auto"/>
        <w:ind w:firstLine="540"/>
        <w:jc w:val="both"/>
      </w:pPr>
      <w:r>
        <w:rPr>
          <w:sz w:val="24"/>
        </w:rPr>
        <w:t xml:space="preserve">4. Заседания Комиссии проводятся очно и (или) посредством использования видео-конференц-связи.</w:t>
      </w:r>
    </w:p>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"Росгеолэкспертиза" (далее - ФГКУ "Росгеолэкспертиза").</w:t>
      </w:r>
    </w:p>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w:t>
      </w:r>
    </w:p>
    <w:bookmarkStart w:id="58" w:name="P58"/>
    <w:bookmarkEnd w:id="58"/>
    <w:p>
      <w:pPr>
        <w:pStyle w:val="0"/>
        <w:spacing w:before="240" w:lineRule="auto"/>
        <w:ind w:firstLine="540"/>
        <w:jc w:val="both"/>
      </w:pPr>
      <w:r>
        <w:rPr>
          <w:sz w:val="24"/>
        </w:rPr>
        <w:t xml:space="preserve">5. Принятие решений о досрочном прекращении права пользования недрами, приостановлении осуществления права пользования недрами и ограничении права пользования недрами осуществляется Комиссией, создаваемой Федеральным агентством по недропользованию, в отношении:</w:t>
      </w:r>
    </w:p>
    <w:bookmarkStart w:id="59" w:name="P59"/>
    <w:bookmarkEnd w:id="59"/>
    <w:p>
      <w:pPr>
        <w:pStyle w:val="0"/>
        <w:spacing w:before="240" w:lineRule="auto"/>
        <w:ind w:firstLine="540"/>
        <w:jc w:val="both"/>
      </w:pPr>
      <w:r>
        <w:rPr>
          <w:sz w:val="24"/>
        </w:rPr>
        <w:t xml:space="preserve">1) участков недр, содержащих полезные ископаемые в количестве, превышающем предельные объемы балансовых запасов и прогнозных ресурсов полезных ископаемых, залегающих на участке недр, указанные в </w:t>
      </w:r>
      <w:hyperlink w:history="0" w:anchor="P282" w:tooltip="ПРЕДЕЛЬНЫЕ ОБЪЕМЫ">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2) участков недр, содержащих полезные ископаемые, не указанные в </w:t>
      </w:r>
      <w:hyperlink w:history="0" w:anchor="P282" w:tooltip="ПРЕДЕЛЬНЫЕ ОБЪЕМЫ">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3) участков недр федерального значения;</w:t>
      </w:r>
    </w:p>
    <w:p>
      <w:pPr>
        <w:pStyle w:val="0"/>
        <w:spacing w:before="240" w:lineRule="auto"/>
        <w:ind w:firstLine="540"/>
        <w:jc w:val="both"/>
      </w:pPr>
      <w:r>
        <w:rPr>
          <w:sz w:val="24"/>
        </w:rPr>
        <w:t xml:space="preserve">4) участков недр, расположенных в пределах исключительной экономической зоны Российской Федерации, Черного и Азовского морей, в пределах которых Российская Федерация осуществляет суверенитет,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а также в пределах российского сектора Каспийского моря;</w:t>
      </w:r>
    </w:p>
    <w:p>
      <w:pPr>
        <w:pStyle w:val="0"/>
        <w:spacing w:before="240" w:lineRule="auto"/>
        <w:ind w:firstLine="540"/>
        <w:jc w:val="both"/>
      </w:pPr>
      <w:r>
        <w:rPr>
          <w:sz w:val="24"/>
        </w:rPr>
        <w:t xml:space="preserve">5) участков недр, предоставленных в пользование в соответствии с </w:t>
      </w:r>
      <w:hyperlink w:history="0" r:id="rId12" w:tooltip="Закон РФ от 21.02.1992 N 2395-1 (ред. от 31.07.2025) &quot;О недрах&quot; {КонсультантПлюс}">
        <w:r>
          <w:rPr>
            <w:sz w:val="24"/>
            <w:color w:val="0000ff"/>
          </w:rPr>
          <w:t xml:space="preserve">абзацем шестым пункта 1</w:t>
        </w:r>
      </w:hyperlink>
      <w:r>
        <w:rPr>
          <w:sz w:val="24"/>
        </w:rPr>
        <w:t xml:space="preserve">, а также </w:t>
      </w:r>
      <w:hyperlink w:history="0" r:id="rId13" w:tooltip="Закон РФ от 21.02.1992 N 2395-1 (ред. от 31.07.2025) &quot;О недрах&quot; {КонсультантПлюс}">
        <w:r>
          <w:rPr>
            <w:sz w:val="24"/>
            <w:color w:val="0000ff"/>
          </w:rPr>
          <w:t xml:space="preserve">пунктами 3</w:t>
        </w:r>
      </w:hyperlink>
      <w:r>
        <w:rPr>
          <w:sz w:val="24"/>
        </w:rPr>
        <w:t xml:space="preserve">, </w:t>
      </w:r>
      <w:hyperlink w:history="0" r:id="rId14" w:tooltip="Закон РФ от 21.02.1992 N 2395-1 (ред. от 31.07.2025) &quot;О недрах&quot; {КонсультантПлюс}">
        <w:r>
          <w:rPr>
            <w:sz w:val="24"/>
            <w:color w:val="0000ff"/>
          </w:rPr>
          <w:t xml:space="preserve">9</w:t>
        </w:r>
      </w:hyperlink>
      <w:r>
        <w:rPr>
          <w:sz w:val="24"/>
        </w:rPr>
        <w:t xml:space="preserve">, </w:t>
      </w:r>
      <w:hyperlink w:history="0" r:id="rId15" w:tooltip="Закон РФ от 21.02.1992 N 2395-1 (ред. от 31.07.2025) &quot;О недрах&quot; {КонсультантПлюс}">
        <w:r>
          <w:rPr>
            <w:sz w:val="24"/>
            <w:color w:val="0000ff"/>
          </w:rPr>
          <w:t xml:space="preserve">11 части первой статьи 10.1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6) участков недр, расположенных на территории более двух субъектов Российской Федерации;</w:t>
      </w:r>
    </w:p>
    <w:bookmarkStart w:id="65" w:name="P65"/>
    <w:bookmarkEnd w:id="65"/>
    <w:p>
      <w:pPr>
        <w:pStyle w:val="0"/>
        <w:spacing w:before="240" w:lineRule="auto"/>
        <w:ind w:firstLine="540"/>
        <w:jc w:val="both"/>
      </w:pPr>
      <w:r>
        <w:rPr>
          <w:sz w:val="24"/>
        </w:rPr>
        <w:t xml:space="preserve">7) участков недр, предоставленных в пользование для геологического изучения и (или) разведки и добычи минеральных подземных вод на территории курортов федерального значения;</w:t>
      </w:r>
    </w:p>
    <w:p>
      <w:pPr>
        <w:pStyle w:val="0"/>
        <w:spacing w:before="240" w:lineRule="auto"/>
        <w:ind w:firstLine="540"/>
        <w:jc w:val="both"/>
      </w:pPr>
      <w:r>
        <w:rPr>
          <w:sz w:val="24"/>
        </w:rPr>
        <w:t xml:space="preserve">8) участков недр, предоставленных в пользование для строительства и эксплуатации хранилищ углеводородного сырья, для геологического изучения и оценки пригодности участка недр для строительства и эксплуатации хранилищ углеводородного сырья, их строительства и эксплуатации;</w:t>
      </w:r>
    </w:p>
    <w:p>
      <w:pPr>
        <w:pStyle w:val="0"/>
        <w:spacing w:before="240" w:lineRule="auto"/>
        <w:ind w:firstLine="540"/>
        <w:jc w:val="both"/>
      </w:pPr>
      <w:r>
        <w:rPr>
          <w:sz w:val="24"/>
        </w:rPr>
        <w:t xml:space="preserve">9) участков недр, предоставленных в пользование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для геологического изучения и оценки пригодности участка недр для строительства и эксплуатации указанных подземных сооружений, их строительства и эксплуатации;</w:t>
      </w:r>
    </w:p>
    <w:p>
      <w:pPr>
        <w:pStyle w:val="0"/>
        <w:spacing w:before="240" w:lineRule="auto"/>
        <w:ind w:firstLine="540"/>
        <w:jc w:val="both"/>
      </w:pPr>
      <w:r>
        <w:rPr>
          <w:sz w:val="24"/>
        </w:rPr>
        <w:t xml:space="preserve">10) участков недр, предоставленных в пользование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bookmarkStart w:id="69" w:name="P69"/>
    <w:bookmarkEnd w:id="69"/>
    <w:p>
      <w:pPr>
        <w:pStyle w:val="0"/>
        <w:spacing w:before="240" w:lineRule="auto"/>
        <w:ind w:firstLine="540"/>
        <w:jc w:val="both"/>
      </w:pPr>
      <w:r>
        <w:rPr>
          <w:sz w:val="24"/>
        </w:rPr>
        <w:t xml:space="preserve">11) участков недр, предоставленных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пластах горных пород.</w:t>
      </w:r>
    </w:p>
    <w:p>
      <w:pPr>
        <w:pStyle w:val="0"/>
        <w:spacing w:before="240" w:lineRule="auto"/>
        <w:ind w:firstLine="540"/>
        <w:jc w:val="both"/>
      </w:pPr>
      <w:r>
        <w:rPr>
          <w:sz w:val="24"/>
        </w:rPr>
        <w:t xml:space="preserve">Принятие решений о досрочном прекращении права пользования недрами, приостановлении осуществления права пользования недрами и ограничении права пользования недрами осуществляется Комиссией, создаваемой территориальным органом Федерального агентства по недропользованию, в отношении участков недр, не указанных в </w:t>
      </w:r>
      <w:hyperlink w:history="0" w:anchor="P59" w:tooltip="1) участков недр, содержащих полезные ископаемые в количестве, превышающем предельные объемы балансовых запасов и прогнозных ресурсов полезных ископаемых, залегающих на участке недр, указанные в приложении к настоящему Порядку;">
        <w:r>
          <w:rPr>
            <w:sz w:val="24"/>
            <w:color w:val="0000ff"/>
          </w:rPr>
          <w:t xml:space="preserve">подпунктах 1</w:t>
        </w:r>
      </w:hyperlink>
      <w:r>
        <w:rPr>
          <w:sz w:val="24"/>
        </w:rPr>
        <w:t xml:space="preserve"> - </w:t>
      </w:r>
      <w:hyperlink w:history="0" w:anchor="P69" w:tooltip="11) участков недр, предоставленных в пользование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для геологического изучения и оценки пригодности участка недр для размещения в пластах горных пород указанных вод, их размещения в плас...">
        <w:r>
          <w:rPr>
            <w:sz w:val="24"/>
            <w:color w:val="0000ff"/>
          </w:rPr>
          <w:t xml:space="preserve">11</w:t>
        </w:r>
      </w:hyperlink>
      <w:r>
        <w:rPr>
          <w:sz w:val="24"/>
        </w:rPr>
        <w:t xml:space="preserve"> настоящего пункта.</w:t>
      </w:r>
    </w:p>
    <w:p>
      <w:pPr>
        <w:pStyle w:val="0"/>
        <w:spacing w:before="240" w:lineRule="auto"/>
        <w:ind w:firstLine="540"/>
        <w:jc w:val="both"/>
      </w:pPr>
      <w:r>
        <w:rPr>
          <w:sz w:val="24"/>
        </w:rPr>
        <w:t xml:space="preserve">6. Передача функций по рассмотрению и анализу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между Комиссией, создаваемой Федеральным агентством по недропользованию, и Комиссией, создаваемой территориальным органом Федерального агентства по недропользованию, осуществляется по решению руководителя (заместителя руководителя) Федерального агентства по недропользованию.</w:t>
      </w:r>
    </w:p>
    <w:bookmarkStart w:id="72" w:name="P72"/>
    <w:bookmarkEnd w:id="72"/>
    <w:p>
      <w:pPr>
        <w:pStyle w:val="0"/>
        <w:spacing w:before="240" w:lineRule="auto"/>
        <w:ind w:firstLine="540"/>
        <w:jc w:val="both"/>
      </w:pPr>
      <w:r>
        <w:rPr>
          <w:sz w:val="24"/>
        </w:rPr>
        <w:t xml:space="preserve">7. В соответствии с </w:t>
      </w:r>
      <w:hyperlink w:history="0" r:id="rId16" w:tooltip="Закон РФ от 21.02.1992 N 2395-1 (ред. от 31.07.2025) &quot;О недрах&quot; {КонсультантПлюс}">
        <w:r>
          <w:rPr>
            <w:sz w:val="24"/>
            <w:color w:val="0000ff"/>
          </w:rPr>
          <w:t xml:space="preserve">частью второй статьи 20</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w:t>
      </w:r>
    </w:p>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w:t>
      </w:r>
    </w:p>
    <w:bookmarkStart w:id="74" w:name="P74"/>
    <w:bookmarkEnd w:id="74"/>
    <w:p>
      <w:pPr>
        <w:pStyle w:val="0"/>
        <w:spacing w:before="240" w:lineRule="auto"/>
        <w:ind w:firstLine="540"/>
        <w:jc w:val="both"/>
      </w:pPr>
      <w:r>
        <w:rPr>
          <w:sz w:val="24"/>
        </w:rPr>
        <w:t xml:space="preserve">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bookmarkStart w:id="75" w:name="P75"/>
    <w:bookmarkEnd w:id="75"/>
    <w:p>
      <w:pPr>
        <w:pStyle w:val="0"/>
        <w:spacing w:before="240" w:lineRule="auto"/>
        <w:ind w:firstLine="540"/>
        <w:jc w:val="both"/>
      </w:pPr>
      <w:r>
        <w:rPr>
          <w:sz w:val="24"/>
        </w:rPr>
        <w:t xml:space="preserve">3) систематического (два и более раза в течение четырех лет) нарушения условий пользования участком недр по лицензии на пользование недрами;</w:t>
      </w:r>
    </w:p>
    <w:bookmarkStart w:id="76" w:name="P76"/>
    <w:bookmarkEnd w:id="76"/>
    <w:p>
      <w:pPr>
        <w:pStyle w:val="0"/>
        <w:spacing w:before="240" w:lineRule="auto"/>
        <w:ind w:firstLine="540"/>
        <w:jc w:val="both"/>
      </w:pPr>
      <w:r>
        <w:rPr>
          <w:sz w:val="24"/>
        </w:rPr>
        <w:t xml:space="preserve">4) если пользователь недр в течение установленного лицензией на пользование недрами срока не приступил к осуществлению пользования недрами;</w:t>
      </w:r>
    </w:p>
    <w:p>
      <w:pPr>
        <w:pStyle w:val="0"/>
        <w:spacing w:before="240" w:lineRule="auto"/>
        <w:ind w:firstLine="540"/>
        <w:jc w:val="both"/>
      </w:pPr>
      <w:r>
        <w:rPr>
          <w:sz w:val="24"/>
        </w:rPr>
        <w:t xml:space="preserve">5) ликвидации пользователя недр;</w:t>
      </w:r>
    </w:p>
    <w:bookmarkStart w:id="78" w:name="P78"/>
    <w:bookmarkEnd w:id="78"/>
    <w:p>
      <w:pPr>
        <w:pStyle w:val="0"/>
        <w:spacing w:before="240" w:lineRule="auto"/>
        <w:ind w:firstLine="540"/>
        <w:jc w:val="both"/>
      </w:pPr>
      <w:r>
        <w:rPr>
          <w:sz w:val="24"/>
        </w:rPr>
        <w:t xml:space="preserve">6) нарушения пользователем недр требований по рациональному использованию и охране недр, установленных </w:t>
      </w:r>
      <w:hyperlink w:history="0" r:id="rId17" w:tooltip="Закон РФ от 21.02.1992 N 2395-1 (ред. от 31.07.2025) &quot;О недрах&quot; {КонсультантПлюс}">
        <w:r>
          <w:rPr>
            <w:sz w:val="24"/>
            <w:color w:val="0000ff"/>
          </w:rPr>
          <w:t xml:space="preserve">частью первой статьи 23</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79" w:name="P79"/>
    <w:bookmarkEnd w:id="79"/>
    <w:p>
      <w:pPr>
        <w:pStyle w:val="0"/>
        <w:spacing w:before="240" w:lineRule="auto"/>
        <w:ind w:firstLine="540"/>
        <w:jc w:val="both"/>
      </w:pPr>
      <w:r>
        <w:rPr>
          <w:sz w:val="24"/>
        </w:rPr>
        <w:t xml:space="preserve">7) непредставления и (или) нарушения порядка представления пользователем недр геологической информации о недрах в соответствии со </w:t>
      </w:r>
      <w:hyperlink w:history="0" r:id="rId18" w:tooltip="Закон РФ от 21.02.1992 N 2395-1 (ред. от 31.07.2025) &quot;О недрах&quot; {КонсультантПлюс}">
        <w:r>
          <w:rPr>
            <w:sz w:val="24"/>
            <w:color w:val="0000ff"/>
          </w:rPr>
          <w:t xml:space="preserve">статьей 27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 федеральный фонд геологической информации и его территориальные фонды;</w:t>
      </w:r>
    </w:p>
    <w:bookmarkStart w:id="80" w:name="P80"/>
    <w:bookmarkEnd w:id="80"/>
    <w:p>
      <w:pPr>
        <w:pStyle w:val="0"/>
        <w:spacing w:before="240" w:lineRule="auto"/>
        <w:ind w:firstLine="540"/>
        <w:jc w:val="both"/>
      </w:pPr>
      <w:r>
        <w:rPr>
          <w:sz w:val="24"/>
        </w:rPr>
        <w:t xml:space="preserve">8) подачи пользователем недр заявления о досрочном прекращении права пользования недрами;</w:t>
      </w:r>
    </w:p>
    <w:p>
      <w:pPr>
        <w:pStyle w:val="0"/>
        <w:spacing w:before="240" w:lineRule="auto"/>
        <w:ind w:firstLine="540"/>
        <w:jc w:val="both"/>
      </w:pPr>
      <w:r>
        <w:rPr>
          <w:sz w:val="24"/>
        </w:rPr>
        <w:t xml:space="preserve">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10) принятия Правительством Российской Федерации решения в соответствии с </w:t>
      </w:r>
      <w:hyperlink w:history="0" r:id="rId19" w:tooltip="Закон РФ от 21.02.1992 N 2395-1 (ред. от 31.07.2025) &quot;О недрах&quot; {КонсультантПлюс}">
        <w:r>
          <w:rPr>
            <w:sz w:val="24"/>
            <w:color w:val="0000ff"/>
          </w:rPr>
          <w:t xml:space="preserve">частью пятой статьи 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2008, N 18, ст. 1941).</w:t>
      </w:r>
    </w:p>
    <w:bookmarkStart w:id="83" w:name="P83"/>
    <w:bookmarkEnd w:id="83"/>
    <w:p>
      <w:pPr>
        <w:pStyle w:val="0"/>
        <w:spacing w:before="240" w:lineRule="auto"/>
        <w:ind w:firstLine="540"/>
        <w:jc w:val="both"/>
      </w:pPr>
      <w:r>
        <w:rPr>
          <w:sz w:val="24"/>
        </w:rPr>
        <w:t xml:space="preserve">8. В соответствии с </w:t>
      </w:r>
      <w:hyperlink w:history="0" r:id="rId20" w:tooltip="Закон РФ от 21.02.1992 N 2395-1 (ред. от 31.07.2025) &quot;О недрах&quot; {КонсультантПлюс}">
        <w:r>
          <w:rPr>
            <w:sz w:val="24"/>
            <w:color w:val="0000ff"/>
          </w:rPr>
          <w:t xml:space="preserve">частью первой статьи 20.1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осуществление права пользования недрами может быть приостановлено в случаях:</w:t>
      </w:r>
    </w:p>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pPr>
        <w:pStyle w:val="0"/>
        <w:spacing w:before="240" w:lineRule="auto"/>
        <w:ind w:firstLine="540"/>
        <w:jc w:val="both"/>
      </w:pPr>
      <w:r>
        <w:rPr>
          <w:sz w:val="24"/>
        </w:rPr>
        <w:t xml:space="preserve">2) возникновения чрезвычайных ситуаций природного и техногенного характера, а также при ведении военных действий на участке недр в целом;</w:t>
      </w:r>
    </w:p>
    <w:p>
      <w:pPr>
        <w:pStyle w:val="0"/>
        <w:spacing w:before="240" w:lineRule="auto"/>
        <w:ind w:firstLine="540"/>
        <w:jc w:val="both"/>
      </w:pPr>
      <w:r>
        <w:rPr>
          <w:sz w:val="24"/>
        </w:rPr>
        <w:t xml:space="preserve">3) 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w:t>
      </w:r>
      <w:hyperlink w:history="0" r:id="rId21" w:tooltip="Закон РФ от 21.02.1992 N 2395-1 (ред. от 31.07.2025) &quot;О недрах&quot; {КонсультантПлюс}">
        <w:r>
          <w:rPr>
            <w:sz w:val="24"/>
            <w:color w:val="0000ff"/>
          </w:rPr>
          <w:t xml:space="preserve">статьями 23.2</w:t>
        </w:r>
      </w:hyperlink>
      <w:r>
        <w:rPr>
          <w:sz w:val="24"/>
        </w:rPr>
        <w:t xml:space="preserve"> и (или) </w:t>
      </w:r>
      <w:hyperlink w:history="0" r:id="rId22" w:tooltip="Закон РФ от 21.02.1992 N 2395-1 (ред. от 31.07.2025) &quot;О недрах&quot; {КонсультантПлюс}">
        <w:r>
          <w:rPr>
            <w:sz w:val="24"/>
            <w:color w:val="0000ff"/>
          </w:rPr>
          <w:t xml:space="preserve">36.1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87" w:name="P87"/>
    <w:bookmarkEnd w:id="87"/>
    <w:p>
      <w:pPr>
        <w:pStyle w:val="0"/>
        <w:spacing w:before="240" w:lineRule="auto"/>
        <w:ind w:firstLine="540"/>
        <w:jc w:val="both"/>
      </w:pPr>
      <w:r>
        <w:rPr>
          <w:sz w:val="24"/>
        </w:rPr>
        <w:t xml:space="preserve">4) подачи пользователем недр заявления о приостановлении осуществления права пользования недрами в случае, установленном </w:t>
      </w:r>
      <w:hyperlink w:history="0" w:anchor="P95" w:tooltip="10. Осуществление права пользования недрами может быть приостановлено по заявлению пользователя недр в случае невозможности рентабельной разработки месторождения полезных ископаемых по показателям разработки, которые установлены в документах и материалах по технико-экономическому обоснованию кондиций для подсчета запасов полезных ископаемых в недрах, коэффициентов извлечения нефти, газа и газового конденсата и (или) техническом проекте разработки месторождения полезных ископаемых, утвержденном в порядке,...">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5) нарушения пользователем недр требований по рациональному использованию и охране недр, установленных </w:t>
      </w:r>
      <w:hyperlink w:history="0" r:id="rId23" w:tooltip="Закон РФ от 21.02.1992 N 2395-1 (ред. от 31.07.2025) &quot;О недрах&quot; {КонсультантПлюс}">
        <w:r>
          <w:rPr>
            <w:sz w:val="24"/>
            <w:color w:val="0000ff"/>
          </w:rPr>
          <w:t xml:space="preserve">частью первой статьи 23</w:t>
        </w:r>
      </w:hyperlink>
      <w:r>
        <w:rPr>
          <w:sz w:val="24"/>
        </w:rPr>
        <w:t xml:space="preserve"> Закона Российской Федерации "О недрах".</w:t>
      </w:r>
    </w:p>
    <w:bookmarkStart w:id="89" w:name="P89"/>
    <w:bookmarkEnd w:id="89"/>
    <w:p>
      <w:pPr>
        <w:pStyle w:val="0"/>
        <w:spacing w:before="240" w:lineRule="auto"/>
        <w:ind w:firstLine="540"/>
        <w:jc w:val="both"/>
      </w:pPr>
      <w:r>
        <w:rPr>
          <w:sz w:val="24"/>
        </w:rPr>
        <w:t xml:space="preserve">9. В соответствии с </w:t>
      </w:r>
      <w:hyperlink w:history="0" r:id="rId24" w:tooltip="Закон РФ от 21.02.1992 N 2395-1 (ред. от 31.07.2025) &quot;О недрах&quot; {КонсультантПлюс}">
        <w:r>
          <w:rPr>
            <w:sz w:val="24"/>
            <w:color w:val="0000ff"/>
          </w:rPr>
          <w:t xml:space="preserve">частью первой статьи 20.2</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w:t>
      </w:r>
    </w:p>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w:t>
      </w:r>
      <w:hyperlink w:history="0" r:id="rId25" w:tooltip="Закон РФ от 21.02.1992 N 2395-1 (ред. от 31.07.2025) &quot;О недрах&quot; {КонсультантПлюс}">
        <w:r>
          <w:rPr>
            <w:sz w:val="24"/>
            <w:color w:val="0000ff"/>
          </w:rPr>
          <w:t xml:space="preserve">статьями 23.2</w:t>
        </w:r>
      </w:hyperlink>
      <w:r>
        <w:rPr>
          <w:sz w:val="24"/>
        </w:rPr>
        <w:t xml:space="preserve"> и (или) </w:t>
      </w:r>
      <w:hyperlink w:history="0" r:id="rId26" w:tooltip="Закон РФ от 21.02.1992 N 2395-1 (ред. от 31.07.2025) &quot;О недрах&quot; {КонсультантПлюс}">
        <w:r>
          <w:rPr>
            <w:sz w:val="24"/>
            <w:color w:val="0000ff"/>
          </w:rPr>
          <w:t xml:space="preserve">36.1</w:t>
        </w:r>
      </w:hyperlink>
      <w:r>
        <w:rPr>
          <w:sz w:val="24"/>
        </w:rPr>
        <w:t xml:space="preserve"> Закона Российской Федерации "О недрах";</w:t>
      </w:r>
    </w:p>
    <w:p>
      <w:pPr>
        <w:pStyle w:val="0"/>
        <w:spacing w:before="240" w:lineRule="auto"/>
        <w:ind w:firstLine="540"/>
        <w:jc w:val="both"/>
      </w:pPr>
      <w:r>
        <w:rPr>
          <w:sz w:val="24"/>
        </w:rPr>
        <w:t xml:space="preserve">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pPr>
        <w:pStyle w:val="0"/>
        <w:spacing w:before="240" w:lineRule="auto"/>
        <w:ind w:firstLine="540"/>
        <w:jc w:val="both"/>
      </w:pPr>
      <w:r>
        <w:rPr>
          <w:sz w:val="24"/>
        </w:rPr>
        <w:t xml:space="preserve">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w:t>
      </w:r>
      <w:hyperlink w:history="0" r:id="rId27" w:tooltip="Закон РФ от 21.02.1992 N 2395-1 (ред. от 31.07.2025) &quot;О недрах&quot; {КонсультантПлюс}">
        <w:r>
          <w:rPr>
            <w:sz w:val="24"/>
            <w:color w:val="0000ff"/>
          </w:rPr>
          <w:t xml:space="preserve">статьями 23.2</w:t>
        </w:r>
      </w:hyperlink>
      <w:r>
        <w:rPr>
          <w:sz w:val="24"/>
        </w:rPr>
        <w:t xml:space="preserve"> и (или) </w:t>
      </w:r>
      <w:hyperlink w:history="0" r:id="rId28" w:tooltip="Закон РФ от 21.02.1992 N 2395-1 (ред. от 31.07.2025) &quot;О недрах&quot; {КонсультантПлюс}">
        <w:r>
          <w:rPr>
            <w:sz w:val="24"/>
            <w:color w:val="0000ff"/>
          </w:rPr>
          <w:t xml:space="preserve">36.1</w:t>
        </w:r>
      </w:hyperlink>
      <w:r>
        <w:rPr>
          <w:sz w:val="24"/>
        </w:rPr>
        <w:t xml:space="preserve"> Закона Российской Федерации "О недрах";</w:t>
      </w:r>
    </w:p>
    <w:p>
      <w:pPr>
        <w:pStyle w:val="0"/>
        <w:spacing w:before="240" w:lineRule="auto"/>
        <w:ind w:firstLine="540"/>
        <w:jc w:val="both"/>
      </w:pPr>
      <w:r>
        <w:rPr>
          <w:sz w:val="24"/>
        </w:rPr>
        <w:t xml:space="preserve">4) наличия оснований, предусмотренных </w:t>
      </w:r>
      <w:hyperlink w:history="0" r:id="rId29"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5) нарушения пользователем недр требований по рациональному использованию и охране недр, установленных </w:t>
      </w:r>
      <w:hyperlink w:history="0" r:id="rId30" w:tooltip="Закон РФ от 21.02.1992 N 2395-1 (ред. от 31.07.2025) &quot;О недрах&quot; {КонсультантПлюс}">
        <w:r>
          <w:rPr>
            <w:sz w:val="24"/>
            <w:color w:val="0000ff"/>
          </w:rPr>
          <w:t xml:space="preserve">частью первой статьи 23</w:t>
        </w:r>
      </w:hyperlink>
      <w:r>
        <w:rPr>
          <w:sz w:val="24"/>
        </w:rPr>
        <w:t xml:space="preserve"> Закона Российской Федерации "О недрах".</w:t>
      </w:r>
    </w:p>
    <w:bookmarkStart w:id="95" w:name="P95"/>
    <w:bookmarkEnd w:id="95"/>
    <w:p>
      <w:pPr>
        <w:pStyle w:val="0"/>
        <w:spacing w:before="240" w:lineRule="auto"/>
        <w:ind w:firstLine="540"/>
        <w:jc w:val="both"/>
      </w:pPr>
      <w:r>
        <w:rPr>
          <w:sz w:val="24"/>
        </w:rPr>
        <w:t xml:space="preserve">10. Осуществление права пользования недрами может быть приостановлено по заявлению пользователя недр в случае невозможности рентабельной разработки месторождения полезных ископаемых по показателям разработки, которые установлены в документах и материалах по технико-экономическому обоснованию кондиций для подсчета запасов полезных ископаемых в недрах, коэффициентов извлечения нефти, газа и газового конденсата и (или) техническом проекте разработки месторождения полезных ископаемых, утвержденном в порядке, установленном </w:t>
      </w:r>
      <w:hyperlink w:history="0" r:id="rId31"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w:t>
      </w:r>
    </w:p>
    <w:p>
      <w:pPr>
        <w:pStyle w:val="0"/>
        <w:spacing w:before="240" w:lineRule="auto"/>
        <w:ind w:firstLine="540"/>
        <w:jc w:val="both"/>
      </w:pPr>
      <w:r>
        <w:rPr>
          <w:sz w:val="24"/>
        </w:rPr>
        <w:t xml:space="preserve">11. В случае наличия на участке недр, право пользования которым досрочно прекращается по заявлению пользователя недр, горных выработок, буровых скважин и иных сооружений, связанных с пользованием недрами, досрочное прекращение права пользования недрами допускается при наличии у пользователя недр согласованного в порядке, предусмотренном </w:t>
      </w:r>
      <w:hyperlink w:history="0" r:id="rId32"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технического проекта консервации и ликвидации горных выработок, буровых скважин и иных сооружений, связанных с пользованием недрами, либо подписанного в соответствии со </w:t>
      </w:r>
      <w:hyperlink w:history="0" r:id="rId33" w:tooltip="Закон РФ от 21.02.1992 N 2395-1 (ред. от 31.07.2025) &quot;О недрах&quot; {КонсультантПлюс}">
        <w:r>
          <w:rPr>
            <w:sz w:val="24"/>
            <w:color w:val="0000ff"/>
          </w:rPr>
          <w:t xml:space="preserve">статьей 26</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акта о ликвидации или консервации горных выработок, буровых скважин и иных сооружений, связанных с пользованием недрами.</w:t>
      </w:r>
    </w:p>
    <w:p>
      <w:pPr>
        <w:pStyle w:val="0"/>
        <w:spacing w:before="240" w:lineRule="auto"/>
        <w:ind w:firstLine="540"/>
        <w:jc w:val="both"/>
      </w:pPr>
      <w:r>
        <w:rPr>
          <w:sz w:val="24"/>
        </w:rPr>
        <w:t xml:space="preserve">12. В случае наличия на участке недр, осуществление права пользования которым приостанавливается по заявлению пользователя недр, горных выработок, буровых скважин и иных сооружений, связанных с пользованием недрами, подлежащих консервации или ликвидации в целях обеспечения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приостановление осуществления права пользования недрами допускается при наличии у пользователя недр согласованного в порядке, предусмотренном </w:t>
      </w:r>
      <w:hyperlink w:history="0" r:id="rId34"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технического проекта консервации и ликвидации горных выработок, буровых скважин и иных сооружений, связанных с пользованием недрами, либо подписанного в соответствии со </w:t>
      </w:r>
      <w:hyperlink w:history="0" r:id="rId35" w:tooltip="Закон РФ от 21.02.1992 N 2395-1 (ред. от 31.07.2025) &quot;О недрах&quot; {КонсультантПлюс}">
        <w:r>
          <w:rPr>
            <w:sz w:val="24"/>
            <w:color w:val="0000ff"/>
          </w:rPr>
          <w:t xml:space="preserve">статьей 26</w:t>
        </w:r>
      </w:hyperlink>
      <w:r>
        <w:rPr>
          <w:sz w:val="24"/>
        </w:rPr>
        <w:t xml:space="preserve"> Закона Российской Федерации "О недрах" акта о ликвидации или консервации горных выработок, буровых скважин и иных сооружений, связанных с пользованием недрами.</w:t>
      </w:r>
    </w:p>
    <w:p>
      <w:pPr>
        <w:pStyle w:val="0"/>
        <w:spacing w:before="240" w:lineRule="auto"/>
        <w:ind w:firstLine="540"/>
        <w:jc w:val="both"/>
      </w:pPr>
      <w:r>
        <w:rPr>
          <w:sz w:val="24"/>
        </w:rPr>
        <w:t xml:space="preserve">13. Дата досрочного прекращения права пользования недрами определяется календарной датой или событием. Период приостановления осуществления права пользования недрами или ограничения права пользования недрами определяется периодом времени или наступлением определенного события.</w:t>
      </w:r>
    </w:p>
    <w:p>
      <w:pPr>
        <w:pStyle w:val="0"/>
        <w:jc w:val="both"/>
      </w:pPr>
      <w:r>
        <w:rPr>
          <w:sz w:val="24"/>
        </w:rPr>
      </w:r>
    </w:p>
    <w:p>
      <w:pPr>
        <w:pStyle w:val="2"/>
        <w:outlineLvl w:val="1"/>
        <w:jc w:val="center"/>
      </w:pPr>
      <w:r>
        <w:rPr>
          <w:sz w:val="24"/>
        </w:rPr>
        <w:t xml:space="preserve">II. Требования к заявлению и прилагаемым к нему документам</w:t>
      </w:r>
    </w:p>
    <w:p>
      <w:pPr>
        <w:pStyle w:val="2"/>
        <w:jc w:val="center"/>
      </w:pPr>
      <w:r>
        <w:rPr>
          <w:sz w:val="24"/>
        </w:rPr>
        <w:t xml:space="preserve">и сведениям, информации, являющимися основаниями для начала</w:t>
      </w:r>
    </w:p>
    <w:p>
      <w:pPr>
        <w:pStyle w:val="2"/>
        <w:jc w:val="center"/>
      </w:pPr>
      <w:r>
        <w:rPr>
          <w:sz w:val="24"/>
        </w:rPr>
        <w:t xml:space="preserve">процедуры досрочного прекращения права пользования недрами,</w:t>
      </w:r>
    </w:p>
    <w:p>
      <w:pPr>
        <w:pStyle w:val="2"/>
        <w:jc w:val="center"/>
      </w:pPr>
      <w:r>
        <w:rPr>
          <w:sz w:val="24"/>
        </w:rPr>
        <w:t xml:space="preserve">приостановления осуществления права пользования недрами</w:t>
      </w:r>
    </w:p>
    <w:p>
      <w:pPr>
        <w:pStyle w:val="2"/>
        <w:jc w:val="center"/>
      </w:pPr>
      <w:r>
        <w:rPr>
          <w:sz w:val="24"/>
        </w:rPr>
        <w:t xml:space="preserve">или ограничения права пользования недрами</w:t>
      </w:r>
    </w:p>
    <w:p>
      <w:pPr>
        <w:pStyle w:val="0"/>
        <w:jc w:val="both"/>
      </w:pPr>
      <w:r>
        <w:rPr>
          <w:sz w:val="24"/>
        </w:rPr>
      </w:r>
    </w:p>
    <w:bookmarkStart w:id="106" w:name="P106"/>
    <w:bookmarkEnd w:id="106"/>
    <w:p>
      <w:pPr>
        <w:pStyle w:val="0"/>
        <w:ind w:firstLine="540"/>
        <w:jc w:val="both"/>
      </w:pPr>
      <w:r>
        <w:rPr>
          <w:sz w:val="24"/>
        </w:rPr>
        <w:t xml:space="preserve">14. Основанием для начала процедуры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является:</w:t>
      </w:r>
    </w:p>
    <w:bookmarkStart w:id="107" w:name="P107"/>
    <w:bookmarkEnd w:id="107"/>
    <w:p>
      <w:pPr>
        <w:pStyle w:val="0"/>
        <w:spacing w:before="240" w:lineRule="auto"/>
        <w:ind w:firstLine="540"/>
        <w:jc w:val="both"/>
      </w:pPr>
      <w:r>
        <w:rPr>
          <w:sz w:val="24"/>
        </w:rPr>
        <w:t xml:space="preserve">1) информация, полученная при осуществлении полномочий Федеральным агентством по недропользованию или его территориальными органами, подведомственными учреждениями Федерального агентства по недропользованию, из федеральных информационных систем и государственных информационных ресурсов Федерального агентства по недропользованию, а также от уполномоченных федеральных органов государственной власти, наделенных полномочиями по осуществлению государственного контроля (надзора), и иных уполномоченных органов государственной власти о возникновении случаев, предусмотренных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пунктами 7</w:t>
        </w:r>
      </w:hyperlink>
      <w:r>
        <w:rPr>
          <w:sz w:val="24"/>
        </w:rPr>
        <w:t xml:space="preserve"> -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9</w:t>
        </w:r>
      </w:hyperlink>
      <w:r>
        <w:rPr>
          <w:sz w:val="24"/>
        </w:rPr>
        <w:t xml:space="preserve"> настоящего Порядка;</w:t>
      </w:r>
    </w:p>
    <w:p>
      <w:pPr>
        <w:pStyle w:val="0"/>
        <w:spacing w:before="240" w:lineRule="auto"/>
        <w:ind w:firstLine="540"/>
        <w:jc w:val="both"/>
      </w:pPr>
      <w:r>
        <w:rPr>
          <w:sz w:val="24"/>
        </w:rPr>
        <w:t xml:space="preserve">2) заявление пользователя недр о досрочном прекращении права пользования недрами или о приостановлении осуществления права пользования недрами;</w:t>
      </w:r>
    </w:p>
    <w:p>
      <w:pPr>
        <w:pStyle w:val="0"/>
        <w:spacing w:before="240" w:lineRule="auto"/>
        <w:ind w:firstLine="540"/>
        <w:jc w:val="both"/>
      </w:pPr>
      <w:r>
        <w:rPr>
          <w:sz w:val="24"/>
        </w:rPr>
        <w:t xml:space="preserve">3) информация о ликвидации юридического лица - пользователя недр, полученная из единого государственного реестра юридических лиц с использованием Интернет-сервиса, размещенного на официальном сайте Федеральной налоговой службы, в соответствии с </w:t>
      </w:r>
      <w:hyperlink w:history="0" r:id="rId36"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w:t>
      </w:r>
    </w:p>
    <w:p>
      <w:pPr>
        <w:pStyle w:val="0"/>
        <w:spacing w:before="240" w:lineRule="auto"/>
        <w:ind w:firstLine="540"/>
        <w:jc w:val="both"/>
      </w:pPr>
      <w:r>
        <w:rPr>
          <w:sz w:val="24"/>
        </w:rPr>
        <w:t xml:space="preserve">4) информация о прекращении физическим лицом - пользователем недр деятельности в качестве индивидуального предпринимателя, полученная из единого государственного реестра индивидуальных предпринимателей с использованием Интернет-сервиса, размещенного на официальном сайте Федеральной налоговой службы в соответствии с </w:t>
      </w:r>
      <w:hyperlink w:history="0" r:id="rId37"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w:t>
      </w:r>
    </w:p>
    <w:p>
      <w:pPr>
        <w:pStyle w:val="0"/>
        <w:spacing w:before="240" w:lineRule="auto"/>
        <w:ind w:firstLine="540"/>
        <w:jc w:val="both"/>
      </w:pPr>
      <w:r>
        <w:rPr>
          <w:sz w:val="24"/>
        </w:rPr>
        <w:t xml:space="preserve">5) решение Правительства Российской Федерации о досрочном прекращении права пользования недрами, принятое в соответствии с </w:t>
      </w:r>
      <w:hyperlink w:history="0" r:id="rId38" w:tooltip="Закон РФ от 21.02.1992 N 2395-1 (ред. от 31.07.2025) &quot;О недрах&quot; {КонсультантПлюс}">
        <w:r>
          <w:rPr>
            <w:sz w:val="24"/>
            <w:color w:val="0000ff"/>
          </w:rPr>
          <w:t xml:space="preserve">частью пятой статьи 2.1</w:t>
        </w:r>
      </w:hyperlink>
      <w:r>
        <w:rPr>
          <w:sz w:val="24"/>
        </w:rPr>
        <w:t xml:space="preserve"> Закона Российской Федерации "О недрах".</w:t>
      </w:r>
    </w:p>
    <w:p>
      <w:pPr>
        <w:pStyle w:val="0"/>
        <w:spacing w:before="240" w:lineRule="auto"/>
        <w:ind w:firstLine="540"/>
        <w:jc w:val="both"/>
      </w:pPr>
      <w:r>
        <w:rPr>
          <w:sz w:val="24"/>
        </w:rPr>
        <w:t xml:space="preserve">15. Информация, представляемая в соответствии с </w:t>
      </w:r>
      <w:hyperlink w:history="0" w:anchor="P107" w:tooltip="1) информация, полученная при осуществлении полномочий Федеральным агентством по недропользованию или его территориальными органами, подведомственными учреждениями Федерального агентства по недропользованию, из федеральных информационных систем и государственных информационных ресурсов Федерального агентства по недропользованию, а также от уполномоченных федеральных органов государственной власти, наделенных полномочиями по осуществлению государственного контроля (надзора), и иных уполномоченных органов ...">
        <w:r>
          <w:rPr>
            <w:sz w:val="24"/>
            <w:color w:val="0000ff"/>
          </w:rPr>
          <w:t xml:space="preserve">подпунктом 1 пункта 14</w:t>
        </w:r>
      </w:hyperlink>
      <w:r>
        <w:rPr>
          <w:sz w:val="24"/>
        </w:rPr>
        <w:t xml:space="preserve"> настоящего Порядка уполномоченными федеральными органами государственной власти, наделенными полномочиями по осуществлению государственного контроля (надзора), а также иными уполномоченными органами государственной власти, о возникновении случаев, предусмотренных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пунктами 7</w:t>
        </w:r>
      </w:hyperlink>
      <w:r>
        <w:rPr>
          <w:sz w:val="24"/>
        </w:rPr>
        <w:t xml:space="preserve"> -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9</w:t>
        </w:r>
      </w:hyperlink>
      <w:r>
        <w:rPr>
          <w:sz w:val="24"/>
        </w:rPr>
        <w:t xml:space="preserve"> настоящего Порядка, должна содержать:</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государственный регистрационный номер лицензии на пользование недрами и дату ее государственной регистрации;</w:t>
      </w:r>
    </w:p>
    <w:p>
      <w:pPr>
        <w:pStyle w:val="0"/>
        <w:spacing w:before="240" w:lineRule="auto"/>
        <w:ind w:firstLine="540"/>
        <w:jc w:val="both"/>
      </w:pPr>
      <w:r>
        <w:rPr>
          <w:sz w:val="24"/>
        </w:rPr>
        <w:t xml:space="preserve">3) информацию о возникновении случаев, предусмотренных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пунктами 7</w:t>
        </w:r>
      </w:hyperlink>
      <w:r>
        <w:rPr>
          <w:sz w:val="24"/>
        </w:rPr>
        <w:t xml:space="preserve"> -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9</w:t>
        </w:r>
      </w:hyperlink>
      <w:r>
        <w:rPr>
          <w:sz w:val="24"/>
        </w:rPr>
        <w:t xml:space="preserve"> настоящего Порядка, краткое описание фактических обстоятельств, а также предложение о досрочном прекращении права пользования недрами, приостановлении осуществления права пользования недрами или ограничении права пользования недрами;</w:t>
      </w:r>
    </w:p>
    <w:p>
      <w:pPr>
        <w:pStyle w:val="0"/>
        <w:spacing w:before="240" w:lineRule="auto"/>
        <w:ind w:firstLine="540"/>
        <w:jc w:val="both"/>
      </w:pPr>
      <w:r>
        <w:rPr>
          <w:sz w:val="24"/>
        </w:rPr>
        <w:t xml:space="preserve">4) копию акта проверки органа государственного контроля (надзора) пользователя недр (в случае, если представляемая информация получена в ходе проверки) и предписания (при наличии).</w:t>
      </w:r>
    </w:p>
    <w:bookmarkStart w:id="117" w:name="P117"/>
    <w:bookmarkEnd w:id="117"/>
    <w:p>
      <w:pPr>
        <w:pStyle w:val="0"/>
        <w:spacing w:before="240" w:lineRule="auto"/>
        <w:ind w:firstLine="540"/>
        <w:jc w:val="both"/>
      </w:pPr>
      <w:r>
        <w:rPr>
          <w:sz w:val="24"/>
        </w:rPr>
        <w:t xml:space="preserve">16. Заявление должно содержать:</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государственный регистрационный номер лицензии на пользование недрами и дату ее государственной регистрации;</w:t>
      </w:r>
    </w:p>
    <w:p>
      <w:pPr>
        <w:pStyle w:val="0"/>
        <w:spacing w:before="240" w:lineRule="auto"/>
        <w:ind w:firstLine="540"/>
        <w:jc w:val="both"/>
      </w:pPr>
      <w:r>
        <w:rPr>
          <w:sz w:val="24"/>
        </w:rPr>
        <w:t xml:space="preserve">3) момент досрочного прекращения права пользования недрами (в случае подачи заявления о досрочном прекращении права пользования недрами) или период приостановления осуществления права пользования недрами (в случае подачи заявления о приостановлении осуществления права пользования недрами);</w:t>
      </w:r>
    </w:p>
    <w:p>
      <w:pPr>
        <w:pStyle w:val="0"/>
        <w:spacing w:before="240" w:lineRule="auto"/>
        <w:ind w:firstLine="540"/>
        <w:jc w:val="both"/>
      </w:pPr>
      <w:r>
        <w:rPr>
          <w:sz w:val="24"/>
        </w:rPr>
        <w:t xml:space="preserve">4) причины досрочного прекращения права пользования недрами или приостановления осуществления права пользования недрами;</w:t>
      </w:r>
    </w:p>
    <w:p>
      <w:pPr>
        <w:pStyle w:val="0"/>
        <w:spacing w:before="240" w:lineRule="auto"/>
        <w:ind w:firstLine="540"/>
        <w:jc w:val="both"/>
      </w:pPr>
      <w:r>
        <w:rPr>
          <w:sz w:val="24"/>
        </w:rPr>
        <w:t xml:space="preserve">5) информацию о выполнении пользователем недр условий пользования недрами по лицензии на пользование недрами;</w:t>
      </w:r>
    </w:p>
    <w:p>
      <w:pPr>
        <w:pStyle w:val="0"/>
        <w:spacing w:before="240" w:lineRule="auto"/>
        <w:ind w:firstLine="540"/>
        <w:jc w:val="both"/>
      </w:pPr>
      <w:r>
        <w:rPr>
          <w:sz w:val="24"/>
        </w:rPr>
        <w:t xml:space="preserve">6) реквизиты решения о согласовании в порядке, предусмотренном </w:t>
      </w:r>
      <w:hyperlink w:history="0" r:id="rId39"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технического проекта консервации и ликвидации горных выработок, буровых скважин и иных сооружений, связанных с пользованием недрами (в случае наличия на участке недр горных выработок, буровых скважин и иных сооружений, связанных с пользованием недрами);</w:t>
      </w:r>
    </w:p>
    <w:p>
      <w:pPr>
        <w:pStyle w:val="0"/>
        <w:spacing w:before="240" w:lineRule="auto"/>
        <w:ind w:firstLine="540"/>
        <w:jc w:val="both"/>
      </w:pPr>
      <w:r>
        <w:rPr>
          <w:sz w:val="24"/>
        </w:rPr>
        <w:t xml:space="preserve">7) 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предусмотренного </w:t>
      </w:r>
      <w:hyperlink w:history="0" r:id="rId40"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либо реквизиты подписанного в соответствии со </w:t>
      </w:r>
      <w:hyperlink w:history="0" r:id="rId41" w:tooltip="Закон РФ от 21.02.1992 N 2395-1 (ред. от 31.07.2025) &quot;О недрах&quot; {КонсультантПлюс}">
        <w:r>
          <w:rPr>
            <w:sz w:val="24"/>
            <w:color w:val="0000ff"/>
          </w:rPr>
          <w:t xml:space="preserve">статьей 26</w:t>
        </w:r>
      </w:hyperlink>
      <w:r>
        <w:rPr>
          <w:sz w:val="24"/>
        </w:rPr>
        <w:t xml:space="preserve"> Закона Российской Федерации "О недрах" акта о ликвидации или консервации горных выработок, буровых скважин и иных сооружений, связанных с пользованием недрами (в случае подачи заявления о приостановлении осуществления права пользования недрами по основанию, предусмотренному </w:t>
      </w:r>
      <w:hyperlink w:history="0" w:anchor="P87" w:tooltip="4) подачи пользователем недр заявления о приостановлении осуществления права пользования недрами в случае, установленном пунктом 10 настоящего Порядка;">
        <w:r>
          <w:rPr>
            <w:sz w:val="24"/>
            <w:color w:val="0000ff"/>
          </w:rPr>
          <w:t xml:space="preserve">подпунктом 4 пункта 8</w:t>
        </w:r>
      </w:hyperlink>
      <w:r>
        <w:rPr>
          <w:sz w:val="24"/>
        </w:rPr>
        <w:t xml:space="preserve"> настоящего Порядка);</w:t>
      </w:r>
    </w:p>
    <w:p>
      <w:pPr>
        <w:pStyle w:val="0"/>
        <w:spacing w:before="240" w:lineRule="auto"/>
        <w:ind w:firstLine="540"/>
        <w:jc w:val="both"/>
      </w:pPr>
      <w:r>
        <w:rPr>
          <w:sz w:val="24"/>
        </w:rPr>
        <w:t xml:space="preserve">8) документы, подтверждающие возникновение обстоятельства, предусмотренного </w:t>
      </w:r>
      <w:hyperlink w:history="0" w:anchor="P95" w:tooltip="10. Осуществление права пользования недрами может быть приостановлено по заявлению пользователя недр в случае невозможности рентабельной разработки месторождения полезных ископаемых по показателям разработки, которые установлены в документах и материалах по технико-экономическому обоснованию кондиций для подсчета запасов полезных ископаемых в недрах, коэффициентов извлечения нефти, газа и газового конденсата и (или) техническом проекте разработки месторождения полезных ископаемых, утвержденном в порядке,...">
        <w:r>
          <w:rPr>
            <w:sz w:val="24"/>
            <w:color w:val="0000ff"/>
          </w:rPr>
          <w:t xml:space="preserve">пунктом 10</w:t>
        </w:r>
      </w:hyperlink>
      <w:r>
        <w:rPr>
          <w:sz w:val="24"/>
        </w:rPr>
        <w:t xml:space="preserve"> настоящего Порядка (в случае подачи заявления о приостановлении осуществления права пользования недрами);</w:t>
      </w:r>
    </w:p>
    <w:p>
      <w:pPr>
        <w:pStyle w:val="0"/>
        <w:spacing w:before="240" w:lineRule="auto"/>
        <w:ind w:firstLine="540"/>
        <w:jc w:val="both"/>
      </w:pPr>
      <w:r>
        <w:rPr>
          <w:sz w:val="24"/>
        </w:rPr>
        <w:t xml:space="preserve">9)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пользователя недр без доверенности (далее - руководитель пользователя недр). В случае, если от имени пользователя недр действует иное лицо, заявление должно содержать также подлинник доверенности на осуществление действий от имени пользователя недр, заверенный печатью пользователя недр (при наличии) и подписанный руководителем пользователя недр (для юридического лица) или иным уполномоченным руководителем пользователя недр лицом. В случае если указанная доверенность подписана лицом, уполномоченным руководителем пользователя недр, заявление должно содержать также документ, подтверждающий полномочия такого лица.</w:t>
      </w:r>
    </w:p>
    <w:bookmarkStart w:id="127" w:name="P127"/>
    <w:bookmarkEnd w:id="127"/>
    <w:p>
      <w:pPr>
        <w:pStyle w:val="0"/>
        <w:spacing w:before="240" w:lineRule="auto"/>
        <w:ind w:firstLine="540"/>
        <w:jc w:val="both"/>
      </w:pPr>
      <w:r>
        <w:rPr>
          <w:sz w:val="24"/>
        </w:rPr>
        <w:t xml:space="preserve">17. Заявление и прилагаемые к нему документы и сведения, указанные в </w:t>
      </w:r>
      <w:hyperlink w:history="0" w:anchor="P117" w:tooltip="16. Заявление должно содержать:">
        <w:r>
          <w:rPr>
            <w:sz w:val="24"/>
            <w:color w:val="0000ff"/>
          </w:rPr>
          <w:t xml:space="preserve">пункте 16</w:t>
        </w:r>
      </w:hyperlink>
      <w:r>
        <w:rPr>
          <w:sz w:val="24"/>
        </w:rPr>
        <w:t xml:space="preserve"> настоящего Порядка, представляются в Федеральное агентство по недропользованию или его территориальный орган в соответствии с распределением полномочий, установленным </w:t>
      </w:r>
      <w:hyperlink w:history="0" w:anchor="P58" w:tooltip="5. Принятие решений о досрочном прекращении права пользования недрами, приостановлении осуществления права пользования недрами и ограничении права пользования недрами осуществляется Комиссией, создаваемой Федеральным агентством по недропользованию, в отношении:">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18. Заявление и прилагаемые к нему документы и сведения подаются с использованием федеральной государственной информационной системы "Единый портал государственных и муниципальных услуг (функций)" (далее - Портал), или портала недропользователей и геологических организаций "Личный кабинет недропользователя" (далее - Личный кабинет недропользователя), лично или почтовым отправлением.</w:t>
      </w:r>
    </w:p>
    <w:p>
      <w:pPr>
        <w:pStyle w:val="0"/>
        <w:spacing w:before="240" w:lineRule="auto"/>
        <w:ind w:firstLine="540"/>
        <w:jc w:val="both"/>
      </w:pPr>
      <w:r>
        <w:rPr>
          <w:sz w:val="24"/>
        </w:rPr>
        <w:t xml:space="preserve">В случае подачи заявления с использованием Портала, Личного кабинета недропользователя заявление и прилагаемые к нему документы и сведения представляются в форме электронных документов, подписанных электронной подписью в соответствии с требованиями Федерального </w:t>
      </w:r>
      <w:hyperlink w:history="0" r:id="rId42"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p>
      <w:pPr>
        <w:pStyle w:val="0"/>
        <w:spacing w:before="240" w:lineRule="auto"/>
        <w:ind w:firstLine="540"/>
        <w:jc w:val="both"/>
      </w:pPr>
      <w:r>
        <w:rPr>
          <w:sz w:val="24"/>
        </w:rPr>
        <w:t xml:space="preserve">В случае подачи заявления лично или почтовым отправлением заявление представляется на бумажном носителе с приложением к нему документов и сведений в форме электронных документов, подписанных электронной подписью в соответствии с требованиями Федерального </w:t>
      </w:r>
      <w:hyperlink w:history="0" r:id="rId43"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Поданное на бумажном носителе заявление должно быть скреплено печатью заявителя (при наличии) (для юридического лица) и подписано заявителем либо уполномоченным руководителем заявителя лицом. Все листы поданного на бумажном носителе заявления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44"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bookmarkStart w:id="132" w:name="P132"/>
    <w:bookmarkEnd w:id="132"/>
    <w:p>
      <w:pPr>
        <w:pStyle w:val="0"/>
        <w:spacing w:before="240" w:lineRule="auto"/>
        <w:ind w:firstLine="540"/>
        <w:jc w:val="both"/>
      </w:pPr>
      <w:r>
        <w:rPr>
          <w:sz w:val="24"/>
        </w:rPr>
        <w:t xml:space="preserve">19. В соответствии с </w:t>
      </w:r>
      <w:hyperlink w:history="0" r:id="rId45" w:tooltip="Закон РФ от 21.02.1992 N 2395-1 (ред. от 31.07.2025) &quot;О недрах&quot; {КонсультантПлюс}">
        <w:r>
          <w:rPr>
            <w:sz w:val="24"/>
            <w:color w:val="0000ff"/>
          </w:rPr>
          <w:t xml:space="preserve">частью второй статьи 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заявление о досрочном прекращении права пользования недрами должно быть подано пользователем недр не позднее шести месяцев до запрашиваемой им даты досрочного прекращения права пользования недрами.</w:t>
      </w:r>
    </w:p>
    <w:p>
      <w:pPr>
        <w:pStyle w:val="0"/>
        <w:spacing w:before="240" w:lineRule="auto"/>
        <w:ind w:firstLine="540"/>
        <w:jc w:val="both"/>
      </w:pPr>
      <w:r>
        <w:rPr>
          <w:sz w:val="24"/>
        </w:rPr>
        <w:t xml:space="preserve">20. Документы и (или) информация, указанные в </w:t>
      </w:r>
      <w:hyperlink w:history="0" w:anchor="P106" w:tooltip="14. Основанием для начала процедуры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является:">
        <w:r>
          <w:rPr>
            <w:sz w:val="24"/>
            <w:color w:val="0000ff"/>
          </w:rPr>
          <w:t xml:space="preserve">пункте 14</w:t>
        </w:r>
      </w:hyperlink>
      <w:r>
        <w:rPr>
          <w:sz w:val="24"/>
        </w:rPr>
        <w:t xml:space="preserve"> настоящего Порядка, представляются в орган государственной власти, обеспечивающий согласно </w:t>
      </w:r>
      <w:hyperlink w:history="0" w:anchor="P55" w:tooltip="4. Заседания Комиссии проводятся очно и (или) посредством использования видео-конференц-связи.">
        <w:r>
          <w:rPr>
            <w:sz w:val="24"/>
            <w:color w:val="0000ff"/>
          </w:rPr>
          <w:t xml:space="preserve">пункту 4</w:t>
        </w:r>
      </w:hyperlink>
      <w:r>
        <w:rPr>
          <w:sz w:val="24"/>
        </w:rPr>
        <w:t xml:space="preserve"> настоящего Порядка деятельность Комиссии с учетом разграничения полномочий, предусмотренного </w:t>
      </w:r>
      <w:hyperlink w:history="0" w:anchor="P58" w:tooltip="5. Принятие решений о досрочном прекращении права пользования недрами, приостановлении осуществления права пользования недрами и ограничении права пользования недрами осуществляется Комиссией, создаваемой Федеральным агентством по недропользованию, в отношении:">
        <w:r>
          <w:rPr>
            <w:sz w:val="24"/>
            <w:color w:val="0000ff"/>
          </w:rPr>
          <w:t xml:space="preserve">пунктом 5</w:t>
        </w:r>
      </w:hyperlink>
      <w:r>
        <w:rPr>
          <w:sz w:val="24"/>
        </w:rPr>
        <w:t xml:space="preserve"> настоящего Порядка.</w:t>
      </w:r>
    </w:p>
    <w:bookmarkStart w:id="134" w:name="P134"/>
    <w:bookmarkEnd w:id="134"/>
    <w:p>
      <w:pPr>
        <w:pStyle w:val="0"/>
        <w:spacing w:before="240" w:lineRule="auto"/>
        <w:ind w:firstLine="540"/>
        <w:jc w:val="both"/>
      </w:pPr>
      <w:r>
        <w:rPr>
          <w:sz w:val="24"/>
        </w:rPr>
        <w:t xml:space="preserve">21. Поступившее заявление регистрируется Федеральным агентством по недропользованию или его территориальным органом в день его поступления. При регистрации заявления ему присваивается регистрационный номер, а также указывается дата и местное время (часы и минуты) его поступления. В случае подачи заявления с использованием Портала или Личного кабинета недропользователя указание даты и местного времени (часов и минут) его поступления осуществляется с использованием программно-аппаратных средств Портала или Личного кабинета недропользователя. В случае подачи заявления лично присвоение регистрационного номера заявлению, а также указание даты и местного времени (часов и минут) его поступления осуществляются в присутствии заявителя. В случае подачи заявления почтовым отправлением указание даты и местного времени (часов и минут) его поступления должно соответствовать дате и местному времени вручения почтового отправления.</w:t>
      </w:r>
    </w:p>
    <w:p>
      <w:pPr>
        <w:pStyle w:val="0"/>
        <w:spacing w:before="240" w:lineRule="auto"/>
        <w:ind w:firstLine="540"/>
        <w:jc w:val="both"/>
      </w:pPr>
      <w:r>
        <w:rPr>
          <w:sz w:val="24"/>
        </w:rPr>
        <w:t xml:space="preserve">Лицо, осуществляющее организационное обеспечение деятельности Комиссии в соответствии с </w:t>
      </w:r>
      <w:hyperlink w:history="0" w:anchor="P55" w:tooltip="4. Заседания Комиссии проводятся очно и (или) посредством использования видео-конференц-связи.">
        <w:r>
          <w:rPr>
            <w:sz w:val="24"/>
            <w:color w:val="0000ff"/>
          </w:rPr>
          <w:t xml:space="preserve">пунктом 4</w:t>
        </w:r>
      </w:hyperlink>
      <w:r>
        <w:rPr>
          <w:sz w:val="24"/>
        </w:rPr>
        <w:t xml:space="preserve"> настоящего Порядка, обеспечивает размещение заявления и прилагаемых к нему документов и сведений в федеральной государственной информационной системе "Автоматизированная система лицензирования недропользования" не позднее 5 рабочих дней с даты регистрации заявления.</w:t>
      </w:r>
    </w:p>
    <w:bookmarkStart w:id="136" w:name="P136"/>
    <w:bookmarkEnd w:id="136"/>
    <w:p>
      <w:pPr>
        <w:pStyle w:val="0"/>
        <w:spacing w:before="240" w:lineRule="auto"/>
        <w:ind w:firstLine="540"/>
        <w:jc w:val="both"/>
      </w:pPr>
      <w:r>
        <w:rPr>
          <w:sz w:val="24"/>
        </w:rPr>
        <w:t xml:space="preserve">Федеральное агентство по недропользованию или его территориальный орган, в который в соответствии с </w:t>
      </w:r>
      <w:hyperlink w:history="0" w:anchor="P127" w:tooltip="17. Заявление и прилагаемые к нему документы и сведения, указанные в пункте 16 настоящего Порядка, представляются в Федеральное агентство по недропользованию или его территориальный орган в соответствии с распределением полномочий, установленным пунктом 5 настоящего Порядка.">
        <w:r>
          <w:rPr>
            <w:sz w:val="24"/>
            <w:color w:val="0000ff"/>
          </w:rPr>
          <w:t xml:space="preserve">пунктом 17</w:t>
        </w:r>
      </w:hyperlink>
      <w:r>
        <w:rPr>
          <w:sz w:val="24"/>
        </w:rPr>
        <w:t xml:space="preserve"> настоящего Порядка было направлено заявление, в срок, не превышающий 5 рабочих дней с даты регистрации заявления, проверяет содержание заявления на предмет наличия в его составе документов и сведений, предусмотренных </w:t>
      </w:r>
      <w:hyperlink w:history="0" w:anchor="P117" w:tooltip="16. Заявление должно содержать:">
        <w:r>
          <w:rPr>
            <w:sz w:val="24"/>
            <w:color w:val="0000ff"/>
          </w:rPr>
          <w:t xml:space="preserve">пунктом 16</w:t>
        </w:r>
      </w:hyperlink>
      <w:r>
        <w:rPr>
          <w:sz w:val="24"/>
        </w:rPr>
        <w:t xml:space="preserve"> настоящего Порядка, а также соблюдение срока представления заявления, предусмотренного </w:t>
      </w:r>
      <w:hyperlink w:history="0" w:anchor="P132" w:tooltip="19. В соответствии с частью второй статьи 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заявление о досрочном прекращении права пользования недрами должно быть подано пользователем недр не позднее шести месяцев до запрашиваемой им даты досрочного прекращения права пользования недрами.">
        <w:r>
          <w:rPr>
            <w:sz w:val="24"/>
            <w:color w:val="0000ff"/>
          </w:rPr>
          <w:t xml:space="preserve">пунктом 19</w:t>
        </w:r>
      </w:hyperlink>
      <w:r>
        <w:rPr>
          <w:sz w:val="24"/>
        </w:rPr>
        <w:t xml:space="preserve"> настоящего Порядка.</w:t>
      </w:r>
    </w:p>
    <w:p>
      <w:pPr>
        <w:pStyle w:val="0"/>
        <w:spacing w:before="240" w:lineRule="auto"/>
        <w:ind w:firstLine="540"/>
        <w:jc w:val="both"/>
      </w:pPr>
      <w:r>
        <w:rPr>
          <w:sz w:val="24"/>
        </w:rPr>
        <w:t xml:space="preserve">В случае отсутствия в составе представленного заявления документов и сведений, предусмотренных </w:t>
      </w:r>
      <w:hyperlink w:history="0" w:anchor="P136" w:tooltip="Федеральное агентство по недропользованию или его территориальный орган, в который в соответствии с пунктом 17 настоящего Порядка было направлено заявление, в срок, не превышающий 5 рабочих дней с даты регистрации заявления, проверяет содержание заявления на предмет наличия в его составе документов и сведений, предусмотренных пунктом 16 настоящего Порядка, а также соблюдение срока представления заявления, предусмотренного пунктом 19 настоящего Порядка.">
        <w:r>
          <w:rPr>
            <w:sz w:val="24"/>
            <w:color w:val="0000ff"/>
          </w:rPr>
          <w:t xml:space="preserve">абзацем третьим</w:t>
        </w:r>
      </w:hyperlink>
      <w:r>
        <w:rPr>
          <w:sz w:val="24"/>
        </w:rPr>
        <w:t xml:space="preserve"> настоящего пункта, и (или) подачи заявления с нарушением срока, предусмотренного </w:t>
      </w:r>
      <w:hyperlink w:history="0" w:anchor="P132" w:tooltip="19. В соответствии с частью второй статьи 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заявление о досрочном прекращении права пользования недрами должно быть подано пользователем недр не позднее шести месяцев до запрашиваемой им даты досрочного прекращения права пользования недрами.">
        <w:r>
          <w:rPr>
            <w:sz w:val="24"/>
            <w:color w:val="0000ff"/>
          </w:rPr>
          <w:t xml:space="preserve">пунктом 19</w:t>
        </w:r>
      </w:hyperlink>
      <w:r>
        <w:rPr>
          <w:sz w:val="24"/>
        </w:rPr>
        <w:t xml:space="preserve"> настоящего Порядка, поступившее заявление не подлежит направлению для рассмотрения Комиссией, о чем Федеральное агентство по недропользованию или его территориальный орган уведомляет заявителя с использованием Портала или Личного кабинета недропользователя и (или) по адресу электронной почты, указанному в заявлении (при наличии), или почтовым отправлением по адресу, указанному в заявке, в срок, указанный в </w:t>
      </w:r>
      <w:hyperlink w:history="0" w:anchor="P136" w:tooltip="Федеральное агентство по недропользованию или его территориальный орган, в который в соответствии с пунктом 17 настоящего Порядка было направлено заявление, в срок, не превышающий 5 рабочих дней с даты регистрации заявления, проверяет содержание заявления на предмет наличия в его составе документов и сведений, предусмотренных пунктом 16 настоящего Порядка, а также соблюдение срока представления заявления, предусмотренного пунктом 19 настоящего Порядка.">
        <w:r>
          <w:rPr>
            <w:sz w:val="24"/>
            <w:color w:val="0000ff"/>
          </w:rPr>
          <w:t xml:space="preserve">абзаце третьем</w:t>
        </w:r>
      </w:hyperlink>
      <w:r>
        <w:rPr>
          <w:sz w:val="24"/>
        </w:rPr>
        <w:t xml:space="preserve"> настоящего пункта.</w:t>
      </w:r>
    </w:p>
    <w:p>
      <w:pPr>
        <w:pStyle w:val="0"/>
        <w:jc w:val="both"/>
      </w:pPr>
      <w:r>
        <w:rPr>
          <w:sz w:val="24"/>
        </w:rPr>
      </w:r>
    </w:p>
    <w:p>
      <w:pPr>
        <w:pStyle w:val="2"/>
        <w:outlineLvl w:val="1"/>
        <w:jc w:val="center"/>
      </w:pPr>
      <w:r>
        <w:rPr>
          <w:sz w:val="24"/>
        </w:rPr>
        <w:t xml:space="preserve">III. Подготовка документов по досрочному прекращению</w:t>
      </w:r>
    </w:p>
    <w:p>
      <w:pPr>
        <w:pStyle w:val="2"/>
        <w:jc w:val="center"/>
      </w:pPr>
      <w:r>
        <w:rPr>
          <w:sz w:val="24"/>
        </w:rPr>
        <w:t xml:space="preserve">права пользования недрами, приостановлению осуществления</w:t>
      </w:r>
    </w:p>
    <w:p>
      <w:pPr>
        <w:pStyle w:val="2"/>
        <w:jc w:val="center"/>
      </w:pPr>
      <w:r>
        <w:rPr>
          <w:sz w:val="24"/>
        </w:rPr>
        <w:t xml:space="preserve">права пользования недрами и ограничению права пользования</w:t>
      </w:r>
    </w:p>
    <w:p>
      <w:pPr>
        <w:pStyle w:val="2"/>
        <w:jc w:val="center"/>
      </w:pPr>
      <w:r>
        <w:rPr>
          <w:sz w:val="24"/>
        </w:rPr>
        <w:t xml:space="preserve">недрами для рассмотрения Комиссией</w:t>
      </w:r>
    </w:p>
    <w:p>
      <w:pPr>
        <w:pStyle w:val="0"/>
        <w:jc w:val="both"/>
      </w:pPr>
      <w:r>
        <w:rPr>
          <w:sz w:val="24"/>
        </w:rPr>
      </w:r>
    </w:p>
    <w:bookmarkStart w:id="144" w:name="P144"/>
    <w:bookmarkEnd w:id="144"/>
    <w:p>
      <w:pPr>
        <w:pStyle w:val="0"/>
        <w:ind w:firstLine="540"/>
        <w:jc w:val="both"/>
      </w:pPr>
      <w:r>
        <w:rPr>
          <w:sz w:val="24"/>
        </w:rPr>
        <w:t xml:space="preserve">22. Лицо, осуществляющее организационное обеспечение деятельности Комиссии в соответствии с </w:t>
      </w:r>
      <w:hyperlink w:history="0" w:anchor="P55" w:tooltip="4. Заседания Комиссии проводятся очно и (или) посредством использования видео-конференц-связи.">
        <w:r>
          <w:rPr>
            <w:sz w:val="24"/>
            <w:color w:val="0000ff"/>
          </w:rPr>
          <w:t xml:space="preserve">пунктом 4</w:t>
        </w:r>
      </w:hyperlink>
      <w:r>
        <w:rPr>
          <w:sz w:val="24"/>
        </w:rPr>
        <w:t xml:space="preserve"> настоящего Порядка, готовит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для рассмотрения Комиссией, который включает в себя следующие документы и сведения в отношении каждого случая досрочного прекращения права пользования недрами, приостановления осуществления права пользования недрами или ограничения права пользования недрами:</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наименование участка недр и его геологические характеристики, краткие сведения о ранее выполненных пользователем недр условиях пользования недрами, предусмотренных лицензией на пользование недрами по данным федеральных информационных систем и государственных информационных ресурсов Федерального агентства по недропользованию;</w:t>
      </w:r>
    </w:p>
    <w:p>
      <w:pPr>
        <w:pStyle w:val="0"/>
        <w:spacing w:before="240" w:lineRule="auto"/>
        <w:ind w:firstLine="540"/>
        <w:jc w:val="both"/>
      </w:pPr>
      <w:r>
        <w:rPr>
          <w:sz w:val="24"/>
        </w:rPr>
        <w:t xml:space="preserve">3) копия лицензии на пользование недрами;</w:t>
      </w:r>
    </w:p>
    <w:p>
      <w:pPr>
        <w:pStyle w:val="0"/>
        <w:spacing w:before="240" w:lineRule="auto"/>
        <w:ind w:firstLine="540"/>
        <w:jc w:val="both"/>
      </w:pPr>
      <w:r>
        <w:rPr>
          <w:sz w:val="24"/>
        </w:rPr>
        <w:t xml:space="preserve">4) информация о случае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предусмотренная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пунктами 7</w:t>
        </w:r>
      </w:hyperlink>
      <w:r>
        <w:rPr>
          <w:sz w:val="24"/>
        </w:rPr>
        <w:t xml:space="preserve"> -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9</w:t>
        </w:r>
      </w:hyperlink>
      <w:r>
        <w:rPr>
          <w:sz w:val="24"/>
        </w:rPr>
        <w:t xml:space="preserve"> настоящего Порядка;</w:t>
      </w:r>
    </w:p>
    <w:p>
      <w:pPr>
        <w:pStyle w:val="0"/>
        <w:spacing w:before="240" w:lineRule="auto"/>
        <w:ind w:firstLine="540"/>
        <w:jc w:val="both"/>
      </w:pPr>
      <w:r>
        <w:rPr>
          <w:sz w:val="24"/>
        </w:rPr>
        <w:t xml:space="preserve">5) документы и (или) информация, являющиеся основанием для начала процедуры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в соответствии с </w:t>
      </w:r>
      <w:hyperlink w:history="0" w:anchor="P106" w:tooltip="14. Основанием для начала процедуры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является:">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6) документы, прилагаемые к заявлению пользователя недр о досрочном прекращении права пользования недрами или о приостановлении осуществления права пользования недрами, которые предусмотрены </w:t>
      </w:r>
      <w:hyperlink w:history="0" w:anchor="P117" w:tooltip="16. Заявление должно содержать:">
        <w:r>
          <w:rPr>
            <w:sz w:val="24"/>
            <w:color w:val="0000ff"/>
          </w:rPr>
          <w:t xml:space="preserve">пунктом 16</w:t>
        </w:r>
      </w:hyperlink>
      <w:r>
        <w:rPr>
          <w:sz w:val="24"/>
        </w:rPr>
        <w:t xml:space="preserve"> настоящего Порядка (в случае досрочного прекращения права пользования недрами или приостановления осуществления права пользования недрами по основаниям, предусмотренным </w:t>
      </w:r>
      <w:hyperlink w:history="0" w:anchor="P80" w:tooltip="8) подачи пользователем недр заявления о досрочном прекращении права пользования недрами;">
        <w:r>
          <w:rPr>
            <w:sz w:val="24"/>
            <w:color w:val="0000ff"/>
          </w:rPr>
          <w:t xml:space="preserve">подпунктом 8 пункта 7</w:t>
        </w:r>
      </w:hyperlink>
      <w:r>
        <w:rPr>
          <w:sz w:val="24"/>
        </w:rPr>
        <w:t xml:space="preserve">, </w:t>
      </w:r>
      <w:hyperlink w:history="0" w:anchor="P87" w:tooltip="4) подачи пользователем недр заявления о приостановлении осуществления права пользования недрами в случае, установленном пунктом 10 настоящего Порядка;">
        <w:r>
          <w:rPr>
            <w:sz w:val="24"/>
            <w:color w:val="0000ff"/>
          </w:rPr>
          <w:t xml:space="preserve">подпунктом 4 пункта 8</w:t>
        </w:r>
      </w:hyperlink>
      <w:r>
        <w:rPr>
          <w:sz w:val="24"/>
        </w:rPr>
        <w:t xml:space="preserve"> настоящего Порядка);</w:t>
      </w:r>
    </w:p>
    <w:p>
      <w:pPr>
        <w:pStyle w:val="0"/>
        <w:spacing w:before="240" w:lineRule="auto"/>
        <w:ind w:firstLine="540"/>
        <w:jc w:val="both"/>
      </w:pPr>
      <w:r>
        <w:rPr>
          <w:sz w:val="24"/>
        </w:rPr>
        <w:t xml:space="preserve">7) решение о согласовании в порядке, предусмотренном </w:t>
      </w:r>
      <w:hyperlink w:history="0" r:id="rId46" w:tooltip="Закон РФ от 21.02.1992 N 2395-1 (ред. от 31.07.2025) &quot;О недрах&quot; {КонсультантПлюс}">
        <w:r>
          <w:rPr>
            <w:sz w:val="24"/>
            <w:color w:val="0000ff"/>
          </w:rPr>
          <w:t xml:space="preserve">статьей 23.2</w:t>
        </w:r>
      </w:hyperlink>
      <w:r>
        <w:rPr>
          <w:sz w:val="24"/>
        </w:rPr>
        <w:t xml:space="preserve"> Закона Российской Федерации "О недрах", технического проекта консервации и ликвидации горных выработок, буровых скважин и иных сооружений, связанных с пользованием недрами, либо подписанный в соответствии со </w:t>
      </w:r>
      <w:hyperlink w:history="0" r:id="rId47" w:tooltip="Закон РФ от 21.02.1992 N 2395-1 (ред. от 31.07.2025) &quot;О недрах&quot; {КонсультантПлюс}">
        <w:r>
          <w:rPr>
            <w:sz w:val="24"/>
            <w:color w:val="0000ff"/>
          </w:rPr>
          <w:t xml:space="preserve">статьей 26</w:t>
        </w:r>
      </w:hyperlink>
      <w:r>
        <w:rPr>
          <w:sz w:val="24"/>
        </w:rPr>
        <w:t xml:space="preserve"> Закона Российской Федерации "О недрах" акт о ликвидации или консервации горных выработок, буровых скважин и иных сооружений, связанных с пользованием недрами (при наличии);</w:t>
      </w:r>
    </w:p>
    <w:p>
      <w:pPr>
        <w:pStyle w:val="0"/>
        <w:spacing w:before="240" w:lineRule="auto"/>
        <w:ind w:firstLine="540"/>
        <w:jc w:val="both"/>
      </w:pPr>
      <w:r>
        <w:rPr>
          <w:sz w:val="24"/>
        </w:rPr>
        <w:t xml:space="preserve">8)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предусмотренное </w:t>
      </w:r>
      <w:hyperlink w:history="0" r:id="rId48" w:tooltip="Закон РФ от 21.02.1992 N 2395-1 (ред. от 31.07.2025) &quot;О недрах&quot; {КонсультантПлюс}">
        <w:r>
          <w:rPr>
            <w:sz w:val="24"/>
            <w:color w:val="0000ff"/>
          </w:rPr>
          <w:t xml:space="preserve">статьей 29</w:t>
        </w:r>
      </w:hyperlink>
      <w:r>
        <w:rPr>
          <w:sz w:val="24"/>
        </w:rPr>
        <w:t xml:space="preserve"> Закона Российской Федерации "О недрах" (в случае подачи заявления о приостановлении осуществления права пользования недрами по основанию, предусмотренному </w:t>
      </w:r>
      <w:hyperlink w:history="0" w:anchor="P87" w:tooltip="4) подачи пользователем недр заявления о приостановлении осуществления права пользования недрами в случае, установленном пунктом 10 настоящего Порядка;">
        <w:r>
          <w:rPr>
            <w:sz w:val="24"/>
            <w:color w:val="0000ff"/>
          </w:rPr>
          <w:t xml:space="preserve">подпунктом 4 пункта 8</w:t>
        </w:r>
      </w:hyperlink>
      <w:r>
        <w:rPr>
          <w:sz w:val="24"/>
        </w:rPr>
        <w:t xml:space="preserve"> настоящего Порядка);</w:t>
      </w:r>
    </w:p>
    <w:p>
      <w:pPr>
        <w:pStyle w:val="0"/>
        <w:spacing w:before="240" w:lineRule="auto"/>
        <w:ind w:firstLine="540"/>
        <w:jc w:val="both"/>
      </w:pPr>
      <w:r>
        <w:rPr>
          <w:sz w:val="24"/>
        </w:rPr>
        <w:t xml:space="preserve">9) документы и информацию, полученные в соответствии с </w:t>
      </w:r>
      <w:hyperlink w:history="0" w:anchor="P159" w:tooltip="24. Лицо, осуществляющее организационное обеспечение деятельности Комиссии в соответствии с пунктом 4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случае, предусмотренном </w:t>
      </w:r>
      <w:hyperlink w:history="0" w:anchor="P75" w:tooltip="3) систематического (два и более раза в течение четырех лет) нарушения условий пользования участком недр по лицензии на пользование недрами;">
        <w:r>
          <w:rPr>
            <w:sz w:val="24"/>
            <w:color w:val="0000ff"/>
          </w:rPr>
          <w:t xml:space="preserve">подпунктом 3 пункта 7</w:t>
        </w:r>
      </w:hyperlink>
      <w:r>
        <w:rPr>
          <w:sz w:val="24"/>
        </w:rPr>
        <w:t xml:space="preserve"> настоящего Порядка, комплект документов по досрочному прекращению права пользования недрами готовится для рассмотрения Комиссией в соответствии с </w:t>
      </w:r>
      <w:hyperlink w:history="0" w:anchor="P156" w:tooltip="1) в течение 20 рабочих дней с даты поступления документов и (или) информации, предусмотренных пунктом 14 настоящего Порядка, или выявления случаев, предусмотренных пунктами 7 - 9 настоящего Порядка;">
        <w:r>
          <w:rPr>
            <w:sz w:val="24"/>
            <w:color w:val="0000ff"/>
          </w:rPr>
          <w:t xml:space="preserve">подпунктом 1 пункта 23</w:t>
        </w:r>
      </w:hyperlink>
      <w:r>
        <w:rPr>
          <w:sz w:val="24"/>
        </w:rPr>
        <w:t xml:space="preserve"> настоящего Порядка в случае, если пользователем недр допущено систематическое (два и более раза в течение четырех лет) нарушение одного и того же условия (условий) пользования участком недр по лицензии на пользование недрами, которое на дату подготовки материалов для рассмотрения Комиссией не было устранено.</w:t>
      </w:r>
    </w:p>
    <w:bookmarkStart w:id="155" w:name="P155"/>
    <w:bookmarkEnd w:id="155"/>
    <w:p>
      <w:pPr>
        <w:pStyle w:val="0"/>
        <w:spacing w:before="240" w:lineRule="auto"/>
        <w:ind w:firstLine="540"/>
        <w:jc w:val="both"/>
      </w:pPr>
      <w:r>
        <w:rPr>
          <w:sz w:val="24"/>
        </w:rPr>
        <w:t xml:space="preserve">23. Лицо, осуществляющее организационное обеспечение деятельности Комиссии в соответствии с </w:t>
      </w:r>
      <w:hyperlink w:history="0" w:anchor="P55" w:tooltip="4. Заседания Комиссии проводятся очно и (или) посредством использования видео-конференц-связи.">
        <w:r>
          <w:rPr>
            <w:sz w:val="24"/>
            <w:color w:val="0000ff"/>
          </w:rPr>
          <w:t xml:space="preserve">пунктом 4</w:t>
        </w:r>
      </w:hyperlink>
      <w:r>
        <w:rPr>
          <w:sz w:val="24"/>
        </w:rPr>
        <w:t xml:space="preserve"> настоящего Порядка, передает в Комиссию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предусмотренный </w:t>
      </w:r>
      <w:hyperlink w:history="0" w:anchor="P144" w:tooltip="22. Лицо, осуществляющее организационное обеспечение деятельности Комиссии в соответствии с пунктом 4 настоящего Порядка, готовит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для рассмотрения Комиссией, который включает в себя следующие документы и сведения в отношении каждого случая досрочного прекращения права пользования недрами, приостановления осуществления права пользования ...">
        <w:r>
          <w:rPr>
            <w:sz w:val="24"/>
            <w:color w:val="0000ff"/>
          </w:rPr>
          <w:t xml:space="preserve">пунктом 22</w:t>
        </w:r>
      </w:hyperlink>
      <w:r>
        <w:rPr>
          <w:sz w:val="24"/>
        </w:rPr>
        <w:t xml:space="preserve"> настоящего Порядка, в следующие сроки:</w:t>
      </w:r>
    </w:p>
    <w:bookmarkStart w:id="156" w:name="P156"/>
    <w:bookmarkEnd w:id="156"/>
    <w:p>
      <w:pPr>
        <w:pStyle w:val="0"/>
        <w:spacing w:before="240" w:lineRule="auto"/>
        <w:ind w:firstLine="540"/>
        <w:jc w:val="both"/>
      </w:pPr>
      <w:r>
        <w:rPr>
          <w:sz w:val="24"/>
        </w:rPr>
        <w:t xml:space="preserve">1) в течение 20 рабочих дней с даты поступления документов и (или) информации, предусмотренных </w:t>
      </w:r>
      <w:hyperlink w:history="0" w:anchor="P106" w:tooltip="14. Основанием для начала процедуры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является:">
        <w:r>
          <w:rPr>
            <w:sz w:val="24"/>
            <w:color w:val="0000ff"/>
          </w:rPr>
          <w:t xml:space="preserve">пунктом 14</w:t>
        </w:r>
      </w:hyperlink>
      <w:r>
        <w:rPr>
          <w:sz w:val="24"/>
        </w:rPr>
        <w:t xml:space="preserve"> настоящего Порядка, или выявления случаев, предусмотренных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пунктами 7</w:t>
        </w:r>
      </w:hyperlink>
      <w:r>
        <w:rPr>
          <w:sz w:val="24"/>
        </w:rPr>
        <w:t xml:space="preserve"> -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9</w:t>
        </w:r>
      </w:hyperlink>
      <w:r>
        <w:rPr>
          <w:sz w:val="24"/>
        </w:rPr>
        <w:t xml:space="preserve"> настоящего Порядка;</w:t>
      </w:r>
    </w:p>
    <w:p>
      <w:pPr>
        <w:pStyle w:val="0"/>
        <w:spacing w:before="240" w:lineRule="auto"/>
        <w:ind w:firstLine="540"/>
        <w:jc w:val="both"/>
      </w:pPr>
      <w:r>
        <w:rPr>
          <w:sz w:val="24"/>
        </w:rPr>
        <w:t xml:space="preserve">2) в течение 20 рабочих дней со дня окончания срока для устранения выявленных нарушений, указанных в выданном пользователю недр уведомлении о допущенных им нарушениях в соответствии с </w:t>
      </w:r>
      <w:hyperlink w:history="0" w:anchor="P206" w:tooltip="V. Оформление уведомления о допущенных пользователем недр">
        <w:r>
          <w:rPr>
            <w:sz w:val="24"/>
            <w:color w:val="0000ff"/>
          </w:rPr>
          <w:t xml:space="preserve">главой V</w:t>
        </w:r>
      </w:hyperlink>
      <w:r>
        <w:rPr>
          <w:sz w:val="24"/>
        </w:rPr>
        <w:t xml:space="preserve"> настоящего Порядка;</w:t>
      </w:r>
    </w:p>
    <w:bookmarkStart w:id="158" w:name="P158"/>
    <w:bookmarkEnd w:id="158"/>
    <w:p>
      <w:pPr>
        <w:pStyle w:val="0"/>
        <w:spacing w:before="240" w:lineRule="auto"/>
        <w:ind w:firstLine="540"/>
        <w:jc w:val="both"/>
      </w:pPr>
      <w:r>
        <w:rPr>
          <w:sz w:val="24"/>
        </w:rPr>
        <w:t xml:space="preserve">3) в течение 10 рабочих дней с даты вступления в законную силу решения суда или со дня вынесения органом, указанным в </w:t>
      </w:r>
      <w:hyperlink w:history="0" w:anchor="P263" w:tooltip="50. Пользователь недр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quot;Росгеолэкспертиза&quot;, а также решение Комиссии, создаваемой территориальным органом Федерального агентства по недропользованию, посредством подачи жалобы в Федеральное агентство по недропользованию на имя руководителя (заместителя руководителя) Федерального агентства по недропользованию.">
        <w:r>
          <w:rPr>
            <w:sz w:val="24"/>
            <w:color w:val="0000ff"/>
          </w:rPr>
          <w:t xml:space="preserve">пункте 50</w:t>
        </w:r>
      </w:hyperlink>
      <w:r>
        <w:rPr>
          <w:sz w:val="24"/>
        </w:rPr>
        <w:t xml:space="preserve"> настоящего Порядка, решения о признании жалобы пользователя недр на решение о досрочном прекращении права пользования недрами, приостановлении осуществления права пользования недрами или ограничении права пользования недрами обоснованной.</w:t>
      </w:r>
    </w:p>
    <w:bookmarkStart w:id="159" w:name="P159"/>
    <w:bookmarkEnd w:id="159"/>
    <w:p>
      <w:pPr>
        <w:pStyle w:val="0"/>
        <w:spacing w:before="240" w:lineRule="auto"/>
        <w:ind w:firstLine="540"/>
        <w:jc w:val="both"/>
      </w:pPr>
      <w:r>
        <w:rPr>
          <w:sz w:val="24"/>
        </w:rPr>
        <w:t xml:space="preserve">24. Лицо, осуществляющее организационное обеспечение деятельности Комиссии в соответствии с </w:t>
      </w:r>
      <w:hyperlink w:history="0" w:anchor="P55" w:tooltip="4. Заседания Комиссии проводятся очно и (или) посредством использования видео-конференц-связи.">
        <w:r>
          <w:rPr>
            <w:sz w:val="24"/>
            <w:color w:val="0000ff"/>
          </w:rPr>
          <w:t xml:space="preserve">пунктом 4</w:t>
        </w:r>
      </w:hyperlink>
      <w:r>
        <w:rPr>
          <w:sz w:val="24"/>
        </w:rPr>
        <w:t xml:space="preserve">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w:t>
      </w:r>
    </w:p>
    <w:p>
      <w:pPr>
        <w:pStyle w:val="0"/>
        <w:spacing w:before="240" w:lineRule="auto"/>
        <w:ind w:firstLine="540"/>
        <w:jc w:val="both"/>
      </w:pPr>
      <w:r>
        <w:rPr>
          <w:sz w:val="24"/>
        </w:rPr>
        <w:t xml:space="preserve">25. Секретарь Комиссии на основании комплектов документов, подготовленных в соответствии с </w:t>
      </w:r>
      <w:hyperlink w:history="0" w:anchor="P144" w:tooltip="22. Лицо, осуществляющее организационное обеспечение деятельности Комиссии в соответствии с пунктом 4 настоящего Порядка, готовит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для рассмотрения Комиссией, который включает в себя следующие документы и сведения в отношении каждого случая досрочного прекращения права пользования недрами, приостановления осуществления права пользования ...">
        <w:r>
          <w:rPr>
            <w:sz w:val="24"/>
            <w:color w:val="0000ff"/>
          </w:rPr>
          <w:t xml:space="preserve">пунктами 22</w:t>
        </w:r>
      </w:hyperlink>
      <w:r>
        <w:rPr>
          <w:sz w:val="24"/>
        </w:rPr>
        <w:t xml:space="preserve"> и </w:t>
      </w:r>
      <w:hyperlink w:history="0" w:anchor="P155" w:tooltip="23. Лицо, осуществляющее организационное обеспечение деятельности Комиссии в соответствии с пунктом 4 настоящего Порядка, передает в Комиссию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предусмотренный пунктом 22 настоящего Порядка, в следующие сроки:">
        <w:r>
          <w:rPr>
            <w:sz w:val="24"/>
            <w:color w:val="0000ff"/>
          </w:rPr>
          <w:t xml:space="preserve">23</w:t>
        </w:r>
      </w:hyperlink>
      <w:r>
        <w:rPr>
          <w:sz w:val="24"/>
        </w:rPr>
        <w:t xml:space="preserve"> настоящего Порядка, осуществляет подготовку проекта повестки заседания Комиссии, содержащего сведения, предусмотренные </w:t>
      </w:r>
      <w:hyperlink w:history="0" w:anchor="P232" w:tooltip="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
        <w:r>
          <w:rPr>
            <w:sz w:val="24"/>
            <w:color w:val="0000ff"/>
          </w:rPr>
          <w:t xml:space="preserve">подпунктами 1</w:t>
        </w:r>
      </w:hyperlink>
      <w:r>
        <w:rPr>
          <w:sz w:val="24"/>
        </w:rPr>
        <w:t xml:space="preserve"> - </w:t>
      </w:r>
      <w:hyperlink w:history="0" w:anchor="P236" w:tooltip="5) информация о возникновении случая, предусмотренного пунктами 7 - 9 настоящего Порядка, краткое описание фактических обстоятельств;">
        <w:r>
          <w:rPr>
            <w:sz w:val="24"/>
            <w:color w:val="0000ff"/>
          </w:rPr>
          <w:t xml:space="preserve">5 пункта 46</w:t>
        </w:r>
      </w:hyperlink>
      <w:r>
        <w:rPr>
          <w:sz w:val="24"/>
        </w:rPr>
        <w:t xml:space="preserve"> настоящего Порядка.</w:t>
      </w:r>
    </w:p>
    <w:bookmarkStart w:id="161" w:name="P161"/>
    <w:bookmarkEnd w:id="161"/>
    <w:p>
      <w:pPr>
        <w:pStyle w:val="0"/>
        <w:spacing w:before="240" w:lineRule="auto"/>
        <w:ind w:firstLine="540"/>
        <w:jc w:val="both"/>
      </w:pPr>
      <w:r>
        <w:rPr>
          <w:sz w:val="24"/>
        </w:rPr>
        <w:t xml:space="preserve">Секретарь Комиссии направляет всем членам Комиссии на адреса их электронной почты подготовленный проект повестки заседания Комиссии, содержащий сведения, предусмотренные </w:t>
      </w:r>
      <w:hyperlink w:history="0" w:anchor="P232" w:tooltip="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
        <w:r>
          <w:rPr>
            <w:sz w:val="24"/>
            <w:color w:val="0000ff"/>
          </w:rPr>
          <w:t xml:space="preserve">подпунктами 1</w:t>
        </w:r>
      </w:hyperlink>
      <w:r>
        <w:rPr>
          <w:sz w:val="24"/>
        </w:rPr>
        <w:t xml:space="preserve"> - </w:t>
      </w:r>
      <w:hyperlink w:history="0" w:anchor="P236" w:tooltip="5) информация о возникновении случая, предусмотренного пунктами 7 - 9 настоящего Порядка, краткое описание фактических обстоятельств;">
        <w:r>
          <w:rPr>
            <w:sz w:val="24"/>
            <w:color w:val="0000ff"/>
          </w:rPr>
          <w:t xml:space="preserve">5 пункта 46</w:t>
        </w:r>
      </w:hyperlink>
      <w:r>
        <w:rPr>
          <w:sz w:val="24"/>
        </w:rPr>
        <w:t xml:space="preserve"> настоящего Порядка, и извещение о проведении заседания Комиссии не позднее, чем за 7 рабочих дней до даты ее заседания. Извещение о проведении заседания Комиссии должно содержать сведения о дате и месте проведения заседания Комиссии, способе участия членов Комиссии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в день направления извещения о проведении заседания Комиссии, предусмотренного </w:t>
      </w:r>
      <w:hyperlink w:history="0" w:anchor="P161" w:tooltip="Секретарь Комиссии направляет всем членам Комиссии на адреса их электронной почты подготовленный проект повестки заседания Комиссии, содержащий сведения, предусмотренные подпунктами 1 - 5 пункта 46 настоящего Порядка, и извещение о проведении заседания Комиссии не позднее, чем за 7 рабочих дней до даты ее заседания. Извещение о проведении заседания Комиссии должно содержать сведения о дате и месте проведения заседания Комиссии, способе участия членов Комиссии в заседании (очно и (или) с использованием ви...">
        <w:r>
          <w:rPr>
            <w:sz w:val="24"/>
            <w:color w:val="0000ff"/>
          </w:rPr>
          <w:t xml:space="preserve">абзацем вторым</w:t>
        </w:r>
      </w:hyperlink>
      <w:r>
        <w:rPr>
          <w:sz w:val="24"/>
        </w:rPr>
        <w:t xml:space="preserve"> настоящего пункта, обеспечивает возможность ознакомления членов Комиссии с документами и сведениями, предусмотренными </w:t>
      </w:r>
      <w:hyperlink w:history="0" w:anchor="P144" w:tooltip="22. Лицо, осуществляющее организационное обеспечение деятельности Комиссии в соответствии с пунктом 4 настоящего Порядка, готовит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для рассмотрения Комиссией, который включает в себя следующие документы и сведения в отношении каждого случая досрочного прекращения права пользования недрами, приостановления осуществления права пользования ...">
        <w:r>
          <w:rPr>
            <w:sz w:val="24"/>
            <w:color w:val="0000ff"/>
          </w:rPr>
          <w:t xml:space="preserve">пунктами 22</w:t>
        </w:r>
      </w:hyperlink>
      <w:r>
        <w:rPr>
          <w:sz w:val="24"/>
        </w:rPr>
        <w:t xml:space="preserve"> и </w:t>
      </w:r>
      <w:hyperlink w:history="0" w:anchor="P159" w:tooltip="24. Лицо, осуществляющее организационное обеспечение деятельности Комиссии в соответствии с пунктом 4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
        <w:r>
          <w:rPr>
            <w:sz w:val="24"/>
            <w:color w:val="0000ff"/>
          </w:rPr>
          <w:t xml:space="preserve">24</w:t>
        </w:r>
      </w:hyperlink>
      <w:r>
        <w:rPr>
          <w:sz w:val="24"/>
        </w:rPr>
        <w:t xml:space="preserve"> настоящего Порядка, с использованием федеральной государственной информационной системы "Автоматизированная система лицензирования недропользования".</w:t>
      </w:r>
    </w:p>
    <w:p>
      <w:pPr>
        <w:pStyle w:val="0"/>
        <w:spacing w:before="240" w:lineRule="auto"/>
        <w:ind w:firstLine="540"/>
        <w:jc w:val="both"/>
      </w:pPr>
      <w:r>
        <w:rPr>
          <w:sz w:val="24"/>
        </w:rPr>
        <w:t xml:space="preserve">26. 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bookmarkStart w:id="164" w:name="P164"/>
    <w:bookmarkEnd w:id="164"/>
    <w:p>
      <w:pPr>
        <w:pStyle w:val="0"/>
        <w:spacing w:before="240" w:lineRule="auto"/>
        <w:ind w:firstLine="540"/>
        <w:jc w:val="both"/>
      </w:pPr>
      <w:r>
        <w:rPr>
          <w:sz w:val="24"/>
        </w:rPr>
        <w:t xml:space="preserve">Секретарь Комиссии направляет пользователю недр, право пользования недрами которого может быть досрочно прекращено или ограничено или осуществление права пользования недрами которого может быть приостановлено, с использованием Личного кабинета недропользователя и (или) адреса его электронной почты (при наличии) или почтовым отправлением по адресу, указанному в заявке, а в случае досрочного прекращения права пользования недрами или приостановления осуществления права пользования недрами по заявлению пользователя недр также с использованием Портала, извещение о рассмотрении документов по досрочному прекращению права пользования недрами, приостановлению осуществления права пользования недрами и ограничению права пользования недрами на заседании Комиссии не позднее, чем за 7 рабочих дней до даты ее заседания.</w:t>
      </w:r>
    </w:p>
    <w:p>
      <w:pPr>
        <w:pStyle w:val="0"/>
        <w:spacing w:before="240" w:lineRule="auto"/>
        <w:ind w:firstLine="540"/>
        <w:jc w:val="both"/>
      </w:pPr>
      <w:r>
        <w:rPr>
          <w:sz w:val="24"/>
        </w:rPr>
        <w:t xml:space="preserve">Извещение о рассмотрении материалов по досрочному прекращению права пользования недрами, приостановлению осуществления права пользования недрами и ограничению права пользования недрами на заседании Комиссии должно содержать:</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государственный регистрационный номер лицензии на пользование недрами и дату ее государственной регистрации;</w:t>
      </w:r>
    </w:p>
    <w:p>
      <w:pPr>
        <w:pStyle w:val="0"/>
        <w:spacing w:before="240" w:lineRule="auto"/>
        <w:ind w:firstLine="540"/>
        <w:jc w:val="both"/>
      </w:pPr>
      <w:r>
        <w:rPr>
          <w:sz w:val="24"/>
        </w:rPr>
        <w:t xml:space="preserve">3) информацию о возникновении случая, предусмотренного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пунктами 7</w:t>
        </w:r>
      </w:hyperlink>
      <w:r>
        <w:rPr>
          <w:sz w:val="24"/>
        </w:rPr>
        <w:t xml:space="preserve"> -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9</w:t>
        </w:r>
      </w:hyperlink>
      <w:r>
        <w:rPr>
          <w:sz w:val="24"/>
        </w:rPr>
        <w:t xml:space="preserve"> настоящего Порядка, краткое описание фактических обстоятельств;</w:t>
      </w:r>
    </w:p>
    <w:p>
      <w:pPr>
        <w:pStyle w:val="0"/>
        <w:spacing w:before="240" w:lineRule="auto"/>
        <w:ind w:firstLine="540"/>
        <w:jc w:val="both"/>
      </w:pPr>
      <w:r>
        <w:rPr>
          <w:sz w:val="24"/>
        </w:rPr>
        <w:t xml:space="preserve">4) сведения о дате и месте проведения заседания Комиссии, способе участия представителя пользователя недр в заседании с использованием видео-конференц-связи;</w:t>
      </w:r>
    </w:p>
    <w:p>
      <w:pPr>
        <w:pStyle w:val="0"/>
        <w:spacing w:before="240" w:lineRule="auto"/>
        <w:ind w:firstLine="540"/>
        <w:jc w:val="both"/>
      </w:pPr>
      <w:r>
        <w:rPr>
          <w:sz w:val="24"/>
        </w:rPr>
        <w:t xml:space="preserve">5) информацию о сроках и способе подачи письменных пояснений и (или) возражений по вопросу досрочного прекращения права пользования недрами, приостановления осуществления права пользования недрами или ограничения права пользования недрами.</w:t>
      </w:r>
    </w:p>
    <w:bookmarkStart w:id="171" w:name="P171"/>
    <w:bookmarkEnd w:id="171"/>
    <w:p>
      <w:pPr>
        <w:pStyle w:val="0"/>
        <w:spacing w:before="240" w:lineRule="auto"/>
        <w:ind w:firstLine="540"/>
        <w:jc w:val="both"/>
      </w:pPr>
      <w:r>
        <w:rPr>
          <w:sz w:val="24"/>
        </w:rPr>
        <w:t xml:space="preserve">27. Пользователь недр, указанный в </w:t>
      </w:r>
      <w:hyperlink w:history="0" w:anchor="P164" w:tooltip="Секретарь Комиссии направляет пользователю недр, право пользования недрами которого может быть досрочно прекращено или ограничено или осуществление права пользования недрами которого может быть приостановлено, с использованием Личного кабинета недропользователя и (или) адреса его электронной почты (при наличии) или почтовым отправлением по адресу, указанному в заявке, а в случае досрочного прекращения права пользования недрами или приостановления осуществления права пользования недрами по заявлению польз...">
        <w:r>
          <w:rPr>
            <w:sz w:val="24"/>
            <w:color w:val="0000ff"/>
          </w:rPr>
          <w:t xml:space="preserve">абзаце втором пункта 26</w:t>
        </w:r>
      </w:hyperlink>
      <w:r>
        <w:rPr>
          <w:sz w:val="24"/>
        </w:rPr>
        <w:t xml:space="preserve"> настоящего Порядка, вправе направить Комиссии письменные пояснения и (или) возражения по вопросу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и сведения о представителе пользователя недр, направляемом для участия в заседании Комиссии, не позднее 1 рабочего дня до даты ее заседания.</w:t>
      </w:r>
    </w:p>
    <w:p>
      <w:pPr>
        <w:pStyle w:val="0"/>
        <w:spacing w:before="240" w:lineRule="auto"/>
        <w:ind w:firstLine="540"/>
        <w:jc w:val="both"/>
      </w:pPr>
      <w:r>
        <w:rPr>
          <w:sz w:val="24"/>
        </w:rPr>
        <w:t xml:space="preserve">В случае направления представителя пользователя недр для участия в заседании Комиссии в сведениях, предусмотренных </w:t>
      </w:r>
      <w:hyperlink w:history="0" w:anchor="P171" w:tooltip="27. Пользователь недр, указанный в абзаце втором пункта 26 настоящего Порядка, вправе направить Комиссии письменные пояснения и (или) возражения по вопросу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и сведения о представителе пользователя недр, направляемом для участия в заседании Комиссии, не позднее 1 рабочего дня до даты ее заседания.">
        <w:r>
          <w:rPr>
            <w:sz w:val="24"/>
            <w:color w:val="0000ff"/>
          </w:rPr>
          <w:t xml:space="preserve">абзацем первым</w:t>
        </w:r>
      </w:hyperlink>
      <w:r>
        <w:rPr>
          <w:sz w:val="24"/>
        </w:rPr>
        <w:t xml:space="preserve"> настоящего пункта, указываются фамилия, имя, отчество (при наличии) представителя, основание его полномочий, адрес его электронной почты.</w:t>
      </w:r>
    </w:p>
    <w:bookmarkStart w:id="173" w:name="P173"/>
    <w:bookmarkEnd w:id="173"/>
    <w:p>
      <w:pPr>
        <w:pStyle w:val="0"/>
        <w:spacing w:before="240" w:lineRule="auto"/>
        <w:ind w:firstLine="540"/>
        <w:jc w:val="both"/>
      </w:pPr>
      <w:r>
        <w:rPr>
          <w:sz w:val="24"/>
        </w:rPr>
        <w:t xml:space="preserve">К сведениям, предусмотренным </w:t>
      </w:r>
      <w:hyperlink w:history="0" w:anchor="P171" w:tooltip="27. Пользователь недр, указанный в абзаце втором пункта 26 настоящего Порядка, вправе направить Комиссии письменные пояснения и (или) возражения по вопросу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и сведения о представителе пользователя недр, направляемом для участия в заседании Комиссии, не позднее 1 рабочего дня до даты ее заседания.">
        <w:r>
          <w:rPr>
            <w:sz w:val="24"/>
            <w:color w:val="0000ff"/>
          </w:rPr>
          <w:t xml:space="preserve">абзацем первым</w:t>
        </w:r>
      </w:hyperlink>
      <w:r>
        <w:rPr>
          <w:sz w:val="24"/>
        </w:rPr>
        <w:t xml:space="preserve"> настоящего пункта, прилагается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руководителя пользователя недр).</w:t>
      </w:r>
    </w:p>
    <w:bookmarkStart w:id="174" w:name="P174"/>
    <w:bookmarkEnd w:id="174"/>
    <w:p>
      <w:pPr>
        <w:pStyle w:val="0"/>
        <w:spacing w:before="240" w:lineRule="auto"/>
        <w:ind w:firstLine="540"/>
        <w:jc w:val="both"/>
      </w:pPr>
      <w:r>
        <w:rPr>
          <w:sz w:val="24"/>
        </w:rPr>
        <w:t xml:space="preserve">В случае, если от имени пользователя недр действует иное лицо, к указанной информации также прилагается доверенность на осуществление действий от имени пользователя недр, заверенная печатью пользователя недр (при наличии) и подписанная руководителем пользователя недр или иным уполномоченным руководителем пользователя недр лицом. В случае если данная доверенность подписана лицом, уполномоченным руководителем пользователя недр, прилагается также документ, подтверждающий полномочия этого лица.</w:t>
      </w:r>
    </w:p>
    <w:p>
      <w:pPr>
        <w:pStyle w:val="0"/>
        <w:spacing w:before="240" w:lineRule="auto"/>
        <w:ind w:firstLine="540"/>
        <w:jc w:val="both"/>
      </w:pPr>
      <w:r>
        <w:rPr>
          <w:sz w:val="24"/>
        </w:rPr>
        <w:t xml:space="preserve">Документы и сведения, указанные в </w:t>
      </w:r>
      <w:hyperlink w:history="0" w:anchor="P171" w:tooltip="27. Пользователь недр, указанный в абзаце втором пункта 26 настоящего Порядка, вправе направить Комиссии письменные пояснения и (или) возражения по вопросу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и сведения о представителе пользователя недр, направляемом для участия в заседании Комиссии, не позднее 1 рабочего дня до даты ее заседания.">
        <w:r>
          <w:rPr>
            <w:sz w:val="24"/>
            <w:color w:val="0000ff"/>
          </w:rPr>
          <w:t xml:space="preserve">абзацах первом</w:t>
        </w:r>
      </w:hyperlink>
      <w:r>
        <w:rPr>
          <w:sz w:val="24"/>
        </w:rPr>
        <w:t xml:space="preserve">, </w:t>
      </w:r>
      <w:hyperlink w:history="0" w:anchor="P173" w:tooltip="К сведениям, предусмотренным абзацем первым настоящего пункта, прилагается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руководителя пользователя недр).">
        <w:r>
          <w:rPr>
            <w:sz w:val="24"/>
            <w:color w:val="0000ff"/>
          </w:rPr>
          <w:t xml:space="preserve">третьем</w:t>
        </w:r>
      </w:hyperlink>
      <w:r>
        <w:rPr>
          <w:sz w:val="24"/>
        </w:rPr>
        <w:t xml:space="preserve"> и </w:t>
      </w:r>
      <w:hyperlink w:history="0" w:anchor="P174" w:tooltip="В случае, если от имени пользователя недр действует иное лицо, к указанной информации также прилагается доверенность на осуществление действий от имени пользователя недр, заверенная печатью пользователя недр (при наличии) и подписанная руководителем пользователя недр или иным уполномоченным руководителем пользователя недр лицом. В случае если данная доверенность подписана лицом, уполномоченным руководителем пользователя недр, прилагается также документ, подтверждающий полномочия этого лица.">
        <w:r>
          <w:rPr>
            <w:sz w:val="24"/>
            <w:color w:val="0000ff"/>
          </w:rPr>
          <w:t xml:space="preserve">четвертом</w:t>
        </w:r>
      </w:hyperlink>
      <w:r>
        <w:rPr>
          <w:sz w:val="24"/>
        </w:rPr>
        <w:t xml:space="preserve"> настоящего пункта, представленные позднее, чем за 1 рабочий день до заседания Комиссии, рассмотрению не подлежат.</w:t>
      </w:r>
    </w:p>
    <w:p>
      <w:pPr>
        <w:pStyle w:val="0"/>
        <w:spacing w:before="240" w:lineRule="auto"/>
        <w:ind w:firstLine="540"/>
        <w:jc w:val="both"/>
      </w:pPr>
      <w:r>
        <w:rPr>
          <w:sz w:val="24"/>
        </w:rPr>
        <w:t xml:space="preserve">Документы и сведения, указанные в </w:t>
      </w:r>
      <w:hyperlink w:history="0" w:anchor="P171" w:tooltip="27. Пользователь недр, указанный в абзаце втором пункта 26 настоящего Порядка, вправе направить Комиссии письменные пояснения и (или) возражения по вопросу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и сведения о представителе пользователя недр, направляемом для участия в заседании Комиссии, не позднее 1 рабочего дня до даты ее заседания.">
        <w:r>
          <w:rPr>
            <w:sz w:val="24"/>
            <w:color w:val="0000ff"/>
          </w:rPr>
          <w:t xml:space="preserve">абзацах первом</w:t>
        </w:r>
      </w:hyperlink>
      <w:r>
        <w:rPr>
          <w:sz w:val="24"/>
        </w:rPr>
        <w:t xml:space="preserve">, </w:t>
      </w:r>
      <w:hyperlink w:history="0" w:anchor="P173" w:tooltip="К сведениям, предусмотренным абзацем первым настоящего пункта, прилагается документ, подтверждающий полномочия лица на осуществление действий от имени пользователя недр - юридического лица (копия решения о назначении или об избрании либо копия приказа о назначении руководителя пользователя недр).">
        <w:r>
          <w:rPr>
            <w:sz w:val="24"/>
            <w:color w:val="0000ff"/>
          </w:rPr>
          <w:t xml:space="preserve">третьем</w:t>
        </w:r>
      </w:hyperlink>
      <w:r>
        <w:rPr>
          <w:sz w:val="24"/>
        </w:rPr>
        <w:t xml:space="preserve"> и </w:t>
      </w:r>
      <w:hyperlink w:history="0" w:anchor="P174" w:tooltip="В случае, если от имени пользователя недр действует иное лицо, к указанной информации также прилагается доверенность на осуществление действий от имени пользователя недр, заверенная печатью пользователя недр (при наличии) и подписанная руководителем пользователя недр или иным уполномоченным руководителем пользователя недр лицом. В случае если данная доверенность подписана лицом, уполномоченным руководителем пользователя недр, прилагается также документ, подтверждающий полномочия этого лица.">
        <w:r>
          <w:rPr>
            <w:sz w:val="24"/>
            <w:color w:val="0000ff"/>
          </w:rPr>
          <w:t xml:space="preserve">четвертом</w:t>
        </w:r>
      </w:hyperlink>
      <w:r>
        <w:rPr>
          <w:sz w:val="24"/>
        </w:rPr>
        <w:t xml:space="preserve"> настоящего пункта, представляемые в форме электронного документа, подписываются электронной подписью в соответствии с требованиями Федерального </w:t>
      </w:r>
      <w:hyperlink w:history="0" r:id="rId49"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и размещаются в Личном кабинете недропользователя.</w:t>
      </w:r>
    </w:p>
    <w:bookmarkStart w:id="177" w:name="P177"/>
    <w:bookmarkEnd w:id="177"/>
    <w:p>
      <w:pPr>
        <w:pStyle w:val="0"/>
        <w:spacing w:before="240" w:lineRule="auto"/>
        <w:ind w:firstLine="540"/>
        <w:jc w:val="both"/>
      </w:pPr>
      <w:r>
        <w:rPr>
          <w:sz w:val="24"/>
        </w:rPr>
        <w:t xml:space="preserve">28. Секретарь Комиссии не позднее чем за 1 рабочий день до заседания Комиссии направляет по адресам электронной почты, указанным в сведениях о представителе пользователя недр, предусмотренных </w:t>
      </w:r>
      <w:hyperlink w:history="0" w:anchor="P171" w:tooltip="27. Пользователь недр, указанный в абзаце втором пункта 26 настоящего Порядка, вправе направить Комиссии письменные пояснения и (или) возражения по вопросу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и сведения о представителе пользователя недр, направляемом для участия в заседании Комиссии, не позднее 1 рабочего дня до даты ее заседания.">
        <w:r>
          <w:rPr>
            <w:sz w:val="24"/>
            <w:color w:val="0000ff"/>
          </w:rPr>
          <w:t xml:space="preserve">абзацем первым пункта 27</w:t>
        </w:r>
      </w:hyperlink>
      <w:r>
        <w:rPr>
          <w:sz w:val="24"/>
        </w:rPr>
        <w:t xml:space="preserve"> настоящего Порядка, информацию для подключения к заседанию Комиссии с использованием видео-конференц-связи.</w:t>
      </w:r>
    </w:p>
    <w:p>
      <w:pPr>
        <w:pStyle w:val="0"/>
        <w:spacing w:before="240" w:lineRule="auto"/>
        <w:ind w:firstLine="540"/>
        <w:jc w:val="both"/>
      </w:pPr>
      <w:r>
        <w:rPr>
          <w:sz w:val="24"/>
        </w:rPr>
        <w:t xml:space="preserve">Неявка лиц, надлежащим образом извещенных (извещенных посредством направления секретарем Комиссии информации для подключения к заседанию Комиссии с использованием видео-конференц-связи, предусмотренной </w:t>
      </w:r>
      <w:hyperlink w:history="0" w:anchor="P177" w:tooltip="28. Секретарь Комиссии не позднее чем за 1 рабочий день до заседания Комиссии направляет по адресам электронной почты, указанным в сведениях о представителе пользователя недр, предусмотренных абзацем первым пункта 27 настоящего Порядка, информацию для подключения к заседанию Комиссии с использованием видео-конференц-связи.">
        <w:r>
          <w:rPr>
            <w:sz w:val="24"/>
            <w:color w:val="0000ff"/>
          </w:rPr>
          <w:t xml:space="preserve">абзацем первым</w:t>
        </w:r>
      </w:hyperlink>
      <w:r>
        <w:rPr>
          <w:sz w:val="24"/>
        </w:rPr>
        <w:t xml:space="preserve"> настоящего пункта) о дате и месте проведения заседания Комиссии, не является препятствием для такого рассмотрения.</w:t>
      </w:r>
    </w:p>
    <w:p>
      <w:pPr>
        <w:pStyle w:val="0"/>
        <w:jc w:val="both"/>
      </w:pPr>
      <w:r>
        <w:rPr>
          <w:sz w:val="24"/>
        </w:rPr>
      </w:r>
    </w:p>
    <w:p>
      <w:pPr>
        <w:pStyle w:val="2"/>
        <w:outlineLvl w:val="1"/>
        <w:jc w:val="center"/>
      </w:pPr>
      <w:r>
        <w:rPr>
          <w:sz w:val="24"/>
        </w:rPr>
        <w:t xml:space="preserve">IV. Рассмотрение документов по досрочному прекращению</w:t>
      </w:r>
    </w:p>
    <w:p>
      <w:pPr>
        <w:pStyle w:val="2"/>
        <w:jc w:val="center"/>
      </w:pPr>
      <w:r>
        <w:rPr>
          <w:sz w:val="24"/>
        </w:rPr>
        <w:t xml:space="preserve">права пользования недрами, приостановлению осуществления</w:t>
      </w:r>
    </w:p>
    <w:p>
      <w:pPr>
        <w:pStyle w:val="2"/>
        <w:jc w:val="center"/>
      </w:pPr>
      <w:r>
        <w:rPr>
          <w:sz w:val="24"/>
        </w:rPr>
        <w:t xml:space="preserve">права пользования недрами и ограничению права пользования</w:t>
      </w:r>
    </w:p>
    <w:p>
      <w:pPr>
        <w:pStyle w:val="2"/>
        <w:jc w:val="center"/>
      </w:pPr>
      <w:r>
        <w:rPr>
          <w:sz w:val="24"/>
        </w:rPr>
        <w:t xml:space="preserve">недрами Комиссией</w:t>
      </w:r>
    </w:p>
    <w:p>
      <w:pPr>
        <w:pStyle w:val="0"/>
        <w:jc w:val="both"/>
      </w:pPr>
      <w:r>
        <w:rPr>
          <w:sz w:val="24"/>
        </w:rPr>
      </w:r>
    </w:p>
    <w:p>
      <w:pPr>
        <w:pStyle w:val="0"/>
        <w:ind w:firstLine="540"/>
        <w:jc w:val="both"/>
      </w:pPr>
      <w:r>
        <w:rPr>
          <w:sz w:val="24"/>
        </w:rPr>
        <w:t xml:space="preserve">29. На заседании Комиссии осуществляется рассмотрение комплекта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предусмотренного </w:t>
      </w:r>
      <w:hyperlink w:history="0" w:anchor="P144" w:tooltip="22. Лицо, осуществляющее организационное обеспечение деятельности Комиссии в соответствии с пунктом 4 настоящего Порядка, готовит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для рассмотрения Комиссией, который включает в себя следующие документы и сведения в отношении каждого случая досрочного прекращения права пользования недрами, приостановления осуществления права пользования ...">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30. При рассмотрении комплекта документов, предусмотренных </w:t>
      </w:r>
      <w:hyperlink w:history="0" w:anchor="P144" w:tooltip="22. Лицо, осуществляющее организационное обеспечение деятельности Комиссии в соответствии с пунктом 4 настоящего Порядка, готовит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для рассмотрения Комиссией, который включает в себя следующие документы и сведения в отношении каждого случая досрочного прекращения права пользования недрами, приостановления осуществления права пользования ...">
        <w:r>
          <w:rPr>
            <w:sz w:val="24"/>
            <w:color w:val="0000ff"/>
          </w:rPr>
          <w:t xml:space="preserve">пунктом 22</w:t>
        </w:r>
      </w:hyperlink>
      <w:r>
        <w:rPr>
          <w:sz w:val="24"/>
        </w:rPr>
        <w:t xml:space="preserve"> настоящего Порядка,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представленного на рассмотрение комплекта документов, задавать вопросы представителям пользователей недр и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31. В случае если в ходе рассмотрения документов, предусмотренных </w:t>
      </w:r>
      <w:hyperlink w:history="0" w:anchor="P144" w:tooltip="22. Лицо, осуществляющее организационное обеспечение деятельности Комиссии в соответствии с пунктом 4 настоящего Порядка, готовит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для рассмотрения Комиссией, который включает в себя следующие документы и сведения в отношении каждого случая досрочного прекращения права пользования недрами, приостановления осуществления права пользования ...">
        <w:r>
          <w:rPr>
            <w:sz w:val="24"/>
            <w:color w:val="0000ff"/>
          </w:rPr>
          <w:t xml:space="preserve">пунктом 22</w:t>
        </w:r>
      </w:hyperlink>
      <w:r>
        <w:rPr>
          <w:sz w:val="24"/>
        </w:rPr>
        <w:t xml:space="preserve"> настоящего Порядка, Комиссией установлено наличие иных случаев, предусмотренных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пунктами 7</w:t>
        </w:r>
      </w:hyperlink>
      <w:r>
        <w:rPr>
          <w:sz w:val="24"/>
        </w:rPr>
        <w:t xml:space="preserve"> -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9</w:t>
        </w:r>
      </w:hyperlink>
      <w:r>
        <w:rPr>
          <w:sz w:val="24"/>
        </w:rPr>
        <w:t xml:space="preserve"> настоящего Порядка, Комиссия учитывает их при принятии решения о досрочном прекращении права пользования недрами, приостановлении осуществления права пользования недрами и ограничении права пользования недрами.</w:t>
      </w:r>
    </w:p>
    <w:p>
      <w:pPr>
        <w:pStyle w:val="0"/>
        <w:spacing w:before="240" w:lineRule="auto"/>
        <w:ind w:firstLine="540"/>
        <w:jc w:val="both"/>
      </w:pPr>
      <w:r>
        <w:rPr>
          <w:sz w:val="24"/>
        </w:rPr>
        <w:t xml:space="preserve">В случае если запрашиваемый пользователем недр срок приостановления осуществления права пользования недрами не соответствует требованиям рационального использования и охраны недр, установленных </w:t>
      </w:r>
      <w:hyperlink w:history="0" r:id="rId50" w:tooltip="Закон РФ от 21.02.1992 N 2395-1 (ред. от 31.07.2025) &quot;О недрах&quot; {КонсультантПлюс}">
        <w:r>
          <w:rPr>
            <w:sz w:val="24"/>
            <w:color w:val="0000ff"/>
          </w:rPr>
          <w:t xml:space="preserve">частью первой статьи 23</w:t>
        </w:r>
      </w:hyperlink>
      <w:r>
        <w:rPr>
          <w:sz w:val="24"/>
        </w:rPr>
        <w:t xml:space="preserve"> Закона Российской Федерации "О недрах", и (или) утвержденной проектной документации, предусмотренной </w:t>
      </w:r>
      <w:hyperlink w:history="0" r:id="rId51" w:tooltip="Закон РФ от 21.02.1992 N 2395-1 (ред. от 31.07.2025) &quot;О недрах&quot; {КонсультантПлюс}">
        <w:r>
          <w:rPr>
            <w:sz w:val="24"/>
            <w:color w:val="0000ff"/>
          </w:rPr>
          <w:t xml:space="preserve">статьями 23.2</w:t>
        </w:r>
      </w:hyperlink>
      <w:r>
        <w:rPr>
          <w:sz w:val="24"/>
        </w:rPr>
        <w:t xml:space="preserve"> и </w:t>
      </w:r>
      <w:hyperlink w:history="0" r:id="rId52" w:tooltip="Закон РФ от 21.02.1992 N 2395-1 (ред. от 31.07.2025) &quot;О недрах&quot; {КонсультантПлюс}">
        <w:r>
          <w:rPr>
            <w:sz w:val="24"/>
            <w:color w:val="0000ff"/>
          </w:rPr>
          <w:t xml:space="preserve">36.1</w:t>
        </w:r>
      </w:hyperlink>
      <w:r>
        <w:rPr>
          <w:sz w:val="24"/>
        </w:rPr>
        <w:t xml:space="preserve"> Закона Российской Федерации "О недрах", Комиссия принимает решение об установлении иного срока приостановления осуществления права пользования недрами, соответствующего таким требованиям и утвержденной проектной документации.</w:t>
      </w:r>
    </w:p>
    <w:p>
      <w:pPr>
        <w:pStyle w:val="0"/>
        <w:spacing w:before="240" w:lineRule="auto"/>
        <w:ind w:firstLine="540"/>
        <w:jc w:val="both"/>
      </w:pPr>
      <w:r>
        <w:rPr>
          <w:sz w:val="24"/>
        </w:rPr>
        <w:t xml:space="preserve">32. В случае возникновения обстоятельств непреодолимой силы в соответствии с </w:t>
      </w:r>
      <w:hyperlink w:history="0" r:id="rId5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ее заседания, но не более чем на 5 рабочих дней.</w:t>
      </w:r>
    </w:p>
    <w:bookmarkStart w:id="190" w:name="P190"/>
    <w:bookmarkEnd w:id="190"/>
    <w:p>
      <w:pPr>
        <w:pStyle w:val="0"/>
        <w:spacing w:before="240" w:lineRule="auto"/>
        <w:ind w:firstLine="540"/>
        <w:jc w:val="both"/>
      </w:pPr>
      <w:r>
        <w:rPr>
          <w:sz w:val="24"/>
        </w:rPr>
        <w:t xml:space="preserve">33. По результатам рассмотрения комплекта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предусмотренного </w:t>
      </w:r>
      <w:hyperlink w:history="0" w:anchor="P144" w:tooltip="22. Лицо, осуществляющее организационное обеспечение деятельности Комиссии в соответствии с пунктом 4 настоящего Порядка, готовит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для рассмотрения Комиссией, который включает в себя следующие документы и сведения в отношении каждого случая досрочного прекращения права пользования недрами, приостановления осуществления права пользования ...">
        <w:r>
          <w:rPr>
            <w:sz w:val="24"/>
            <w:color w:val="0000ff"/>
          </w:rPr>
          <w:t xml:space="preserve">пунктом 22</w:t>
        </w:r>
      </w:hyperlink>
      <w:r>
        <w:rPr>
          <w:sz w:val="24"/>
        </w:rPr>
        <w:t xml:space="preserve"> настоящего Порядка, Комиссия вправе принять следующие решения:</w:t>
      </w:r>
    </w:p>
    <w:p>
      <w:pPr>
        <w:pStyle w:val="0"/>
        <w:spacing w:before="240" w:lineRule="auto"/>
        <w:ind w:firstLine="540"/>
        <w:jc w:val="both"/>
      </w:pPr>
      <w:r>
        <w:rPr>
          <w:sz w:val="24"/>
        </w:rPr>
        <w:t xml:space="preserve">1) о досрочном прекращении права пользования недрами;</w:t>
      </w:r>
    </w:p>
    <w:p>
      <w:pPr>
        <w:pStyle w:val="0"/>
        <w:spacing w:before="240" w:lineRule="auto"/>
        <w:ind w:firstLine="540"/>
        <w:jc w:val="both"/>
      </w:pPr>
      <w:r>
        <w:rPr>
          <w:sz w:val="24"/>
        </w:rPr>
        <w:t xml:space="preserve">2) о приостановлении осуществления права пользования недрами;</w:t>
      </w:r>
    </w:p>
    <w:p>
      <w:pPr>
        <w:pStyle w:val="0"/>
        <w:spacing w:before="240" w:lineRule="auto"/>
        <w:ind w:firstLine="540"/>
        <w:jc w:val="both"/>
      </w:pPr>
      <w:r>
        <w:rPr>
          <w:sz w:val="24"/>
        </w:rPr>
        <w:t xml:space="preserve">3) об ограничении права пользования недрами;</w:t>
      </w:r>
    </w:p>
    <w:p>
      <w:pPr>
        <w:pStyle w:val="0"/>
        <w:spacing w:before="240" w:lineRule="auto"/>
        <w:ind w:firstLine="540"/>
        <w:jc w:val="both"/>
      </w:pPr>
      <w:r>
        <w:rPr>
          <w:sz w:val="24"/>
        </w:rPr>
        <w:t xml:space="preserve">4) о направлении в адрес пользователя недр уведомления о допущенных пользователем недр нарушениях, предусмотренного </w:t>
      </w:r>
      <w:hyperlink w:history="0" r:id="rId54" w:tooltip="Закон РФ от 21.02.1992 N 2395-1 (ред. от 31.07.2025) &quot;О недрах&quot; {КонсультантПлюс}">
        <w:r>
          <w:rPr>
            <w:sz w:val="24"/>
            <w:color w:val="0000ff"/>
          </w:rPr>
          <w:t xml:space="preserve">частью четвертой статьи 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и необходимости повторного рассмотрения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по истечении срока, предусмотренного </w:t>
      </w:r>
      <w:hyperlink w:history="0" w:anchor="P216" w:tooltip="5) срок устранения нарушений, который не может быть менее трех и более двенадцати месяцев со дня доставки пользователю недр или его представителю письменного уведомления о допущенных им нарушениях;">
        <w:r>
          <w:rPr>
            <w:sz w:val="24"/>
            <w:color w:val="0000ff"/>
          </w:rPr>
          <w:t xml:space="preserve">подпунктом 5 пункта 41</w:t>
        </w:r>
      </w:hyperlink>
      <w:r>
        <w:rPr>
          <w:sz w:val="24"/>
        </w:rPr>
        <w:t xml:space="preserve"> настоящего Порядка;</w:t>
      </w:r>
    </w:p>
    <w:p>
      <w:pPr>
        <w:pStyle w:val="0"/>
        <w:spacing w:before="240" w:lineRule="auto"/>
        <w:ind w:firstLine="540"/>
        <w:jc w:val="both"/>
      </w:pPr>
      <w:r>
        <w:rPr>
          <w:sz w:val="24"/>
        </w:rPr>
        <w:t xml:space="preserve">5) об отказе в досрочном прекращении права пользования недрами или о приостановлении осуществления права пользования недрами по заявлению пользователя недр;</w:t>
      </w:r>
    </w:p>
    <w:p>
      <w:pPr>
        <w:pStyle w:val="0"/>
        <w:spacing w:before="240" w:lineRule="auto"/>
        <w:ind w:firstLine="540"/>
        <w:jc w:val="both"/>
      </w:pPr>
      <w:r>
        <w:rPr>
          <w:sz w:val="24"/>
        </w:rPr>
        <w:t xml:space="preserve">6) о прекращении процедуры без осуществления досрочного прекращения права пользования недрами, приостановления осуществления права пользования недрами или ограничения права пользования недрами.</w:t>
      </w:r>
    </w:p>
    <w:p>
      <w:pPr>
        <w:pStyle w:val="0"/>
        <w:spacing w:before="240" w:lineRule="auto"/>
        <w:ind w:firstLine="540"/>
        <w:jc w:val="both"/>
      </w:pPr>
      <w:r>
        <w:rPr>
          <w:sz w:val="24"/>
        </w:rPr>
        <w:t xml:space="preserve">Решение Комиссии принимается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34. Решение о досрочном прекращении права пользования недрами принимается Комиссией при условии, что по результатам рассмотрения и анализа документов по досрочному прекращению права пользования недрами установлено наличие случаев, предусмотренных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пунктом 7</w:t>
        </w:r>
      </w:hyperlink>
      <w:r>
        <w:rPr>
          <w:sz w:val="24"/>
        </w:rPr>
        <w:t xml:space="preserve"> настоящего Порядка. При этом в случаях, предусмотренных </w:t>
      </w:r>
      <w:hyperlink w:history="0" w:anchor="P74"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sz w:val="24"/>
            <w:color w:val="0000ff"/>
          </w:rPr>
          <w:t xml:space="preserve">подпунктами 2</w:t>
        </w:r>
      </w:hyperlink>
      <w:r>
        <w:rPr>
          <w:sz w:val="24"/>
        </w:rPr>
        <w:t xml:space="preserve"> - </w:t>
      </w:r>
      <w:hyperlink w:history="0" w:anchor="P76"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78" w:tooltip="6) нарушения пользователем недр требований по рациональному использованию и охране недр, установленных частью первой статьи 23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6</w:t>
        </w:r>
      </w:hyperlink>
      <w:r>
        <w:rPr>
          <w:sz w:val="24"/>
        </w:rPr>
        <w:t xml:space="preserve"> и </w:t>
      </w:r>
      <w:hyperlink w:history="0" w:anchor="P79" w:tooltip="7) непредставления и (или) нарушения порядка представления пользователем недр геологической информации о недрах в соответствии со статьей 27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 федеральный фонд геологической информации и его территориальные фонды;">
        <w:r>
          <w:rPr>
            <w:sz w:val="24"/>
            <w:color w:val="0000ff"/>
          </w:rPr>
          <w:t xml:space="preserve">7 пункта 7</w:t>
        </w:r>
      </w:hyperlink>
      <w:r>
        <w:rPr>
          <w:sz w:val="24"/>
        </w:rPr>
        <w:t xml:space="preserve"> настоящего Порядка, решение о досрочном прекращении права пользования недрами принимается Комиссией по истечении не менее трех и не более двенадцати месяцев со дня доставки пользователю недр или его представителю письменного уведомления о допущенных им нарушениях, предусмотренного </w:t>
      </w:r>
      <w:hyperlink w:history="0" w:anchor="P206" w:tooltip="V. Оформление уведомления о допущенных пользователем недр">
        <w:r>
          <w:rPr>
            <w:sz w:val="24"/>
            <w:color w:val="0000ff"/>
          </w:rPr>
          <w:t xml:space="preserve">главой V</w:t>
        </w:r>
      </w:hyperlink>
      <w:r>
        <w:rPr>
          <w:sz w:val="24"/>
        </w:rPr>
        <w:t xml:space="preserve"> настоящего Порядка, при условии, что в указанный срок пользователь недр не устранил эти нарушения.</w:t>
      </w:r>
    </w:p>
    <w:p>
      <w:pPr>
        <w:pStyle w:val="0"/>
        <w:spacing w:before="240" w:lineRule="auto"/>
        <w:ind w:firstLine="540"/>
        <w:jc w:val="both"/>
      </w:pPr>
      <w:r>
        <w:rPr>
          <w:sz w:val="24"/>
        </w:rPr>
        <w:t xml:space="preserve">В случае рассмотрения заявления пользователя недр о досрочном прекращении права пользования недрами решение о досрочном прекращении права пользования недрами принимается Комиссией при условии, что заявление о досрочном прекращении права пользования недрами соответствует требованиям, предусмотренным </w:t>
      </w:r>
      <w:hyperlink w:history="0" w:anchor="P117" w:tooltip="16. Заявление должно содержать:">
        <w:r>
          <w:rPr>
            <w:sz w:val="24"/>
            <w:color w:val="0000ff"/>
          </w:rPr>
          <w:t xml:space="preserve">пунктами 16</w:t>
        </w:r>
      </w:hyperlink>
      <w:r>
        <w:rPr>
          <w:sz w:val="24"/>
        </w:rPr>
        <w:t xml:space="preserve">, </w:t>
      </w:r>
      <w:hyperlink w:history="0" w:anchor="P132" w:tooltip="19. В соответствии с частью второй статьи 2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заявление о досрочном прекращении права пользования недрами должно быть подано пользователем недр не позднее шести месяцев до запрашиваемой им даты досрочного прекращения права пользования недрами.">
        <w:r>
          <w:rPr>
            <w:sz w:val="24"/>
            <w:color w:val="0000ff"/>
          </w:rPr>
          <w:t xml:space="preserve">19</w:t>
        </w:r>
      </w:hyperlink>
      <w:r>
        <w:rPr>
          <w:sz w:val="24"/>
        </w:rPr>
        <w:t xml:space="preserve"> настоящего Порядка.</w:t>
      </w:r>
    </w:p>
    <w:p>
      <w:pPr>
        <w:pStyle w:val="0"/>
        <w:spacing w:before="240" w:lineRule="auto"/>
        <w:ind w:firstLine="540"/>
        <w:jc w:val="both"/>
      </w:pPr>
      <w:r>
        <w:rPr>
          <w:sz w:val="24"/>
        </w:rPr>
        <w:t xml:space="preserve">35. Решение о приостановлении осуществления права пользования недрами принимается Комиссией при условии, что по результатам рассмотрения и анализа документов по приостановлению осуществления права пользования недрами установлено наличие случаев, предусмотренных </w:t>
      </w:r>
      <w:hyperlink w:history="0" w:anchor="P83" w:tooltip="8. В соответствии с частью первой статьи 20.1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осуществление права пользования недрами может быть приостановлено в случаях:">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В случае рассмотрения и анализа заявления пользователя недр о приостановлении осуществления права пользования недрами решение о приостановлении осуществления права пользования недрами принимается Комиссией при условии, что заявление о приостановлении осуществления права пользования недрами соответствует требованиям, предусмотренным </w:t>
      </w:r>
      <w:hyperlink w:history="0" w:anchor="P117" w:tooltip="16. Заявление должно содержать:">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36. Решение об ограничении права пользования недрами принимается Комиссией при условии, что по результатам рассмотрения и анализа документов по ограничению права пользования недрами установлено наличие случаев, предусмотренных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пунктом 9</w:t>
        </w:r>
      </w:hyperlink>
      <w:r>
        <w:rPr>
          <w:sz w:val="24"/>
        </w:rPr>
        <w:t xml:space="preserve"> настоящего Порядка.</w:t>
      </w:r>
    </w:p>
    <w:p>
      <w:pPr>
        <w:pStyle w:val="0"/>
        <w:spacing w:before="240" w:lineRule="auto"/>
        <w:ind w:firstLine="540"/>
        <w:jc w:val="both"/>
      </w:pPr>
      <w:r>
        <w:rPr>
          <w:sz w:val="24"/>
        </w:rPr>
        <w:t xml:space="preserve">37. Решение о направлении в адрес пользователя недр уведомления о допущенных пользователем недр нарушениях, предусмотренного </w:t>
      </w:r>
      <w:hyperlink w:history="0" r:id="rId55" w:tooltip="Закон РФ от 21.02.1992 N 2395-1 (ред. от 31.07.2025) &quot;О недрах&quot; {КонсультантПлюс}">
        <w:r>
          <w:rPr>
            <w:sz w:val="24"/>
            <w:color w:val="0000ff"/>
          </w:rPr>
          <w:t xml:space="preserve">частью четвертой статьи 21</w:t>
        </w:r>
      </w:hyperlink>
      <w:r>
        <w:rPr>
          <w:sz w:val="24"/>
        </w:rPr>
        <w:t xml:space="preserve"> Закона Российской Федерации "О недрах", принимается Комиссией при условии, что по результатам рассмотрения и анализа документов по досрочному прекращению права пользования недрами установлено наличие случаев, предусмотренных </w:t>
      </w:r>
      <w:hyperlink w:history="0" w:anchor="P74"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sz w:val="24"/>
            <w:color w:val="0000ff"/>
          </w:rPr>
          <w:t xml:space="preserve">подпунктами 2</w:t>
        </w:r>
      </w:hyperlink>
      <w:r>
        <w:rPr>
          <w:sz w:val="24"/>
        </w:rPr>
        <w:t xml:space="preserve"> - </w:t>
      </w:r>
      <w:hyperlink w:history="0" w:anchor="P76"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78" w:tooltip="6) нарушения пользователем недр требований по рациональному использованию и охране недр, установленных частью первой статьи 23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6</w:t>
        </w:r>
      </w:hyperlink>
      <w:r>
        <w:rPr>
          <w:sz w:val="24"/>
        </w:rPr>
        <w:t xml:space="preserve"> и </w:t>
      </w:r>
      <w:hyperlink w:history="0" w:anchor="P79" w:tooltip="7) непредставления и (или) нарушения порядка представления пользователем недр геологической информации о недрах в соответствии со статьей 27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 федеральный фонд геологической информации и его территориальные фонды;">
        <w:r>
          <w:rPr>
            <w:sz w:val="24"/>
            <w:color w:val="0000ff"/>
          </w:rPr>
          <w:t xml:space="preserve">7 пункта 7</w:t>
        </w:r>
      </w:hyperlink>
      <w:r>
        <w:rPr>
          <w:sz w:val="24"/>
        </w:rPr>
        <w:t xml:space="preserve"> настоящего Порядка.</w:t>
      </w:r>
    </w:p>
    <w:p>
      <w:pPr>
        <w:pStyle w:val="0"/>
        <w:spacing w:before="240" w:lineRule="auto"/>
        <w:ind w:firstLine="540"/>
        <w:jc w:val="both"/>
      </w:pPr>
      <w:r>
        <w:rPr>
          <w:sz w:val="24"/>
        </w:rPr>
        <w:t xml:space="preserve">38. Решение о прекращении процедуры без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принимается Комиссией при условии, что по результатам рассмотрения и анализа документов по досрочному прекращению права пользования недрами, приостановлению осуществления права пользования недрами и ограничению права пользования недрами установлено отсутствие случаев, предусмотренных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пунктами 7</w:t>
        </w:r>
      </w:hyperlink>
      <w:r>
        <w:rPr>
          <w:sz w:val="24"/>
        </w:rPr>
        <w:t xml:space="preserve"> -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9</w:t>
        </w:r>
      </w:hyperlink>
      <w:r>
        <w:rPr>
          <w:sz w:val="24"/>
        </w:rPr>
        <w:t xml:space="preserve"> настоящего Порядка.</w:t>
      </w:r>
    </w:p>
    <w:p>
      <w:pPr>
        <w:pStyle w:val="0"/>
        <w:jc w:val="both"/>
      </w:pPr>
      <w:r>
        <w:rPr>
          <w:sz w:val="24"/>
        </w:rPr>
      </w:r>
    </w:p>
    <w:bookmarkStart w:id="206" w:name="P206"/>
    <w:bookmarkEnd w:id="206"/>
    <w:p>
      <w:pPr>
        <w:pStyle w:val="2"/>
        <w:outlineLvl w:val="1"/>
        <w:jc w:val="center"/>
      </w:pPr>
      <w:r>
        <w:rPr>
          <w:sz w:val="24"/>
        </w:rPr>
        <w:t xml:space="preserve">V. Оформление уведомления о допущенных пользователем недр</w:t>
      </w:r>
    </w:p>
    <w:p>
      <w:pPr>
        <w:pStyle w:val="2"/>
        <w:jc w:val="center"/>
      </w:pPr>
      <w:r>
        <w:rPr>
          <w:sz w:val="24"/>
        </w:rPr>
        <w:t xml:space="preserve">нарушениях и направление его пользователю недр</w:t>
      </w:r>
    </w:p>
    <w:p>
      <w:pPr>
        <w:pStyle w:val="0"/>
        <w:jc w:val="both"/>
      </w:pPr>
      <w:r>
        <w:rPr>
          <w:sz w:val="24"/>
        </w:rPr>
      </w:r>
    </w:p>
    <w:p>
      <w:pPr>
        <w:pStyle w:val="0"/>
        <w:ind w:firstLine="540"/>
        <w:jc w:val="both"/>
      </w:pPr>
      <w:r>
        <w:rPr>
          <w:sz w:val="24"/>
        </w:rPr>
        <w:t xml:space="preserve">39. В соответствии с </w:t>
      </w:r>
      <w:hyperlink w:history="0" r:id="rId56" w:tooltip="Закон РФ от 21.02.1992 N 2395-1 (ред. от 31.07.2025) &quot;О недрах&quot; {КонсультантПлюс}">
        <w:r>
          <w:rPr>
            <w:sz w:val="24"/>
            <w:color w:val="0000ff"/>
          </w:rPr>
          <w:t xml:space="preserve">частью четвертой статьи 21</w:t>
        </w:r>
      </w:hyperlink>
      <w:r>
        <w:rPr>
          <w:sz w:val="24"/>
        </w:rPr>
        <w:t xml:space="preserve"> Закона Российской Федерации "О недрах" в случаях, предусмотренных </w:t>
      </w:r>
      <w:hyperlink w:history="0" r:id="rId57"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58" w:tooltip="Закон РФ от 21.02.1992 N 2395-1 (ред. от 31.07.2025) &quot;О недрах&quot; {КонсультантПлюс}">
        <w:r>
          <w:rPr>
            <w:sz w:val="24"/>
            <w:color w:val="0000ff"/>
          </w:rPr>
          <w:t xml:space="preserve">4</w:t>
        </w:r>
      </w:hyperlink>
      <w:r>
        <w:rPr>
          <w:sz w:val="24"/>
        </w:rPr>
        <w:t xml:space="preserve">, </w:t>
      </w:r>
      <w:hyperlink w:history="0" r:id="rId59" w:tooltip="Закон РФ от 21.02.1992 N 2395-1 (ред. от 31.07.2025) &quot;О недрах&quot; {КонсультантПлюс}">
        <w:r>
          <w:rPr>
            <w:sz w:val="24"/>
            <w:color w:val="0000ff"/>
          </w:rPr>
          <w:t xml:space="preserve">6</w:t>
        </w:r>
      </w:hyperlink>
      <w:r>
        <w:rPr>
          <w:sz w:val="24"/>
        </w:rPr>
        <w:t xml:space="preserve"> и </w:t>
      </w:r>
      <w:hyperlink w:history="0" r:id="rId60" w:tooltip="Закон РФ от 21.02.1992 N 2395-1 (ред. от 31.07.2025) &quot;О недрах&quot; {КонсультантПлюс}">
        <w:r>
          <w:rPr>
            <w:sz w:val="24"/>
            <w:color w:val="0000ff"/>
          </w:rPr>
          <w:t xml:space="preserve">7 части второй статьи 20</w:t>
        </w:r>
      </w:hyperlink>
      <w:r>
        <w:rPr>
          <w:sz w:val="24"/>
        </w:rPr>
        <w:t xml:space="preserve"> Закона Российской Федерации "О недрах", решение о досрочном прекращении права пользования недрами принимается Комиссией по истечении не менее трех и не более двенадцати месяцев со дня доставки пользователю недр или его представителю письменного уведомления о допущенных им нарушениях при условии, что в указанный срок пользователь недр не устранил эти нарушения.</w:t>
      </w:r>
    </w:p>
    <w:p>
      <w:pPr>
        <w:pStyle w:val="0"/>
        <w:spacing w:before="240" w:lineRule="auto"/>
        <w:ind w:firstLine="540"/>
        <w:jc w:val="both"/>
      </w:pPr>
      <w:r>
        <w:rPr>
          <w:sz w:val="24"/>
        </w:rPr>
        <w:t xml:space="preserve">40. В случае принятия Комиссией решения о направлении в адрес пользователя недр уведомления о допущенных им нарушениях уполномоченное должностное лицо Федерального агентства по недропользованию или его территориального органа в течение 5 рабочих дней с даты подписания протокола заседания Комиссии оформляет уведомление о допущенных пользователем недр нарушениях.</w:t>
      </w:r>
    </w:p>
    <w:p>
      <w:pPr>
        <w:pStyle w:val="0"/>
        <w:spacing w:before="240" w:lineRule="auto"/>
        <w:ind w:firstLine="540"/>
        <w:jc w:val="both"/>
      </w:pPr>
      <w:r>
        <w:rPr>
          <w:sz w:val="24"/>
        </w:rPr>
        <w:t xml:space="preserve">41. Уведомление о допущенных пользователем недр нарушениях должно содержать:</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адрес электронной почты (при наличии);</w:t>
      </w:r>
    </w:p>
    <w:p>
      <w:pPr>
        <w:pStyle w:val="0"/>
        <w:spacing w:before="240" w:lineRule="auto"/>
        <w:ind w:firstLine="540"/>
        <w:jc w:val="both"/>
      </w:pPr>
      <w:r>
        <w:rPr>
          <w:sz w:val="24"/>
        </w:rPr>
        <w:t xml:space="preserve">3) государственный регистрационный номер лицензии на пользование недрами и дату ее государственной регистрации;</w:t>
      </w:r>
    </w:p>
    <w:p>
      <w:pPr>
        <w:pStyle w:val="0"/>
        <w:spacing w:before="240" w:lineRule="auto"/>
        <w:ind w:firstLine="540"/>
        <w:jc w:val="both"/>
      </w:pPr>
      <w:r>
        <w:rPr>
          <w:sz w:val="24"/>
        </w:rPr>
        <w:t xml:space="preserve">4) информацию о возникновении случаев, предусмотренных </w:t>
      </w:r>
      <w:hyperlink w:history="0" w:anchor="P74"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sz w:val="24"/>
            <w:color w:val="0000ff"/>
          </w:rPr>
          <w:t xml:space="preserve">подпунктами 2</w:t>
        </w:r>
      </w:hyperlink>
      <w:r>
        <w:rPr>
          <w:sz w:val="24"/>
        </w:rPr>
        <w:t xml:space="preserve"> - </w:t>
      </w:r>
      <w:hyperlink w:history="0" w:anchor="P76"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78" w:tooltip="6) нарушения пользователем недр требований по рациональному использованию и охране недр, установленных частью первой статьи 23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r>
          <w:rPr>
            <w:sz w:val="24"/>
            <w:color w:val="0000ff"/>
          </w:rPr>
          <w:t xml:space="preserve">6</w:t>
        </w:r>
      </w:hyperlink>
      <w:r>
        <w:rPr>
          <w:sz w:val="24"/>
        </w:rPr>
        <w:t xml:space="preserve"> и </w:t>
      </w:r>
      <w:hyperlink w:history="0" w:anchor="P79" w:tooltip="7) непредставления и (или) нарушения порядка представления пользователем недр геологической информации о недрах в соответствии со статьей 27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в федеральный фонд геологической информации и его территориальные фонды;">
        <w:r>
          <w:rPr>
            <w:sz w:val="24"/>
            <w:color w:val="0000ff"/>
          </w:rPr>
          <w:t xml:space="preserve">7 пункта 7</w:t>
        </w:r>
      </w:hyperlink>
      <w:r>
        <w:rPr>
          <w:sz w:val="24"/>
        </w:rPr>
        <w:t xml:space="preserve"> настоящего Порядка;</w:t>
      </w:r>
    </w:p>
    <w:bookmarkStart w:id="216" w:name="P216"/>
    <w:bookmarkEnd w:id="216"/>
    <w:p>
      <w:pPr>
        <w:pStyle w:val="0"/>
        <w:spacing w:before="240" w:lineRule="auto"/>
        <w:ind w:firstLine="540"/>
        <w:jc w:val="both"/>
      </w:pPr>
      <w:r>
        <w:rPr>
          <w:sz w:val="24"/>
        </w:rPr>
        <w:t xml:space="preserve">5) срок устранения нарушений, который не может быть менее трех и более двенадцати месяцев со дня доставки пользователю недр или его представителю письменного уведомления о допущенных им нарушениях;</w:t>
      </w:r>
    </w:p>
    <w:p>
      <w:pPr>
        <w:pStyle w:val="0"/>
        <w:spacing w:before="240" w:lineRule="auto"/>
        <w:ind w:firstLine="540"/>
        <w:jc w:val="both"/>
      </w:pPr>
      <w:r>
        <w:rPr>
          <w:sz w:val="24"/>
        </w:rPr>
        <w:t xml:space="preserve">6) требования к информации об устранении нарушений, которая должна быть представлена пользователем недр, с указанием срока и способа ее представления;</w:t>
      </w:r>
    </w:p>
    <w:p>
      <w:pPr>
        <w:pStyle w:val="0"/>
        <w:spacing w:before="240" w:lineRule="auto"/>
        <w:ind w:firstLine="540"/>
        <w:jc w:val="both"/>
      </w:pPr>
      <w:r>
        <w:rPr>
          <w:sz w:val="24"/>
        </w:rPr>
        <w:t xml:space="preserve">7) предупреждение о возможном досрочном прекращении права пользования недрами в случае неустранения нарушения в указанный в уведомлении срок.</w:t>
      </w:r>
    </w:p>
    <w:p>
      <w:pPr>
        <w:pStyle w:val="0"/>
        <w:spacing w:before="240" w:lineRule="auto"/>
        <w:ind w:firstLine="540"/>
        <w:jc w:val="both"/>
      </w:pPr>
      <w:r>
        <w:rPr>
          <w:sz w:val="24"/>
        </w:rPr>
        <w:t xml:space="preserve">42. Уведомление о допущенных пользователем недр нарушениях подписывается руководителем (уполномоченным заместителем руководителя) Федерального агентства по недропользованию или руководителем (уполномоченным заместителем руководителя) соответствующего территориального органа Федерального агентства по недропользованию. Уведомление о допущенных пользователем недр нарушениях оформляется в виде электронного документа, подписанного электронной подписью в соответствии с требованиями Федерального </w:t>
      </w:r>
      <w:hyperlink w:history="0" r:id="rId61"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или в виде бумажного документа.</w:t>
      </w:r>
    </w:p>
    <w:p>
      <w:pPr>
        <w:pStyle w:val="0"/>
        <w:spacing w:before="240" w:lineRule="auto"/>
        <w:ind w:firstLine="540"/>
        <w:jc w:val="both"/>
      </w:pPr>
      <w:r>
        <w:rPr>
          <w:sz w:val="24"/>
        </w:rPr>
        <w:t xml:space="preserve">43. Уполномоченное должностное лицо Федерального агентства по недропользованию или его территориального органа в течение 2 рабочих дней с даты оформления уведомления о допущенных пользователем недр нарушениях размещает указанное уведомление в Личном кабинете недропользователя, а также направляет на электронную почту пользователя недр (при наличии).</w:t>
      </w:r>
    </w:p>
    <w:p>
      <w:pPr>
        <w:pStyle w:val="0"/>
        <w:spacing w:before="240" w:lineRule="auto"/>
        <w:ind w:firstLine="540"/>
        <w:jc w:val="both"/>
      </w:pPr>
      <w:r>
        <w:rPr>
          <w:sz w:val="24"/>
        </w:rPr>
        <w:t xml:space="preserve">В случае если пользователь недр не зарегистрирован в Личном кабинете недропользователя, уведомление о допущенных им нарушениях направляется заказным письмом с уведомлением о вручении.</w:t>
      </w:r>
    </w:p>
    <w:p>
      <w:pPr>
        <w:pStyle w:val="0"/>
        <w:spacing w:before="240" w:lineRule="auto"/>
        <w:ind w:firstLine="540"/>
        <w:jc w:val="both"/>
      </w:pPr>
      <w:r>
        <w:rPr>
          <w:sz w:val="24"/>
        </w:rPr>
        <w:t xml:space="preserve">Уведомление считается доставленным пользователю недр и в тех случаях, если оно поступило лицу, которому оно направлено, но по обстоятельствам, зависящим от указанного лица, не было ему вручено либо пользователь недр или его представитель не ознакомились с ним.</w:t>
      </w:r>
    </w:p>
    <w:p>
      <w:pPr>
        <w:pStyle w:val="0"/>
        <w:jc w:val="both"/>
      </w:pPr>
      <w:r>
        <w:rPr>
          <w:sz w:val="24"/>
        </w:rPr>
      </w:r>
    </w:p>
    <w:p>
      <w:pPr>
        <w:pStyle w:val="2"/>
        <w:outlineLvl w:val="1"/>
        <w:jc w:val="center"/>
      </w:pPr>
      <w:r>
        <w:rPr>
          <w:sz w:val="24"/>
        </w:rPr>
        <w:t xml:space="preserve">VI. Оформление решения Комиссии о досрочном прекращении</w:t>
      </w:r>
    </w:p>
    <w:p>
      <w:pPr>
        <w:pStyle w:val="2"/>
        <w:jc w:val="center"/>
      </w:pPr>
      <w:r>
        <w:rPr>
          <w:sz w:val="24"/>
        </w:rPr>
        <w:t xml:space="preserve">права пользования недрами, приостановлении осуществления</w:t>
      </w:r>
    </w:p>
    <w:p>
      <w:pPr>
        <w:pStyle w:val="2"/>
        <w:jc w:val="center"/>
      </w:pPr>
      <w:r>
        <w:rPr>
          <w:sz w:val="24"/>
        </w:rPr>
        <w:t xml:space="preserve">права пользования недрами и ограничении права</w:t>
      </w:r>
    </w:p>
    <w:p>
      <w:pPr>
        <w:pStyle w:val="2"/>
        <w:jc w:val="center"/>
      </w:pPr>
      <w:r>
        <w:rPr>
          <w:sz w:val="24"/>
        </w:rPr>
        <w:t xml:space="preserve">пользования недрами</w:t>
      </w:r>
    </w:p>
    <w:p>
      <w:pPr>
        <w:pStyle w:val="0"/>
        <w:jc w:val="both"/>
      </w:pPr>
      <w:r>
        <w:rPr>
          <w:sz w:val="24"/>
        </w:rPr>
      </w:r>
    </w:p>
    <w:bookmarkStart w:id="229" w:name="P229"/>
    <w:bookmarkEnd w:id="229"/>
    <w:p>
      <w:pPr>
        <w:pStyle w:val="0"/>
        <w:ind w:firstLine="540"/>
        <w:jc w:val="both"/>
      </w:pPr>
      <w:r>
        <w:rPr>
          <w:sz w:val="24"/>
        </w:rPr>
        <w:t xml:space="preserve">44. Решение, предусмотренное </w:t>
      </w:r>
      <w:hyperlink w:history="0" w:anchor="P190" w:tooltip="33. По результатам рассмотрения комплекта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предусмотренного пунктом 22 настоящего Порядка, Комиссия вправе принять следующие решения:">
        <w:r>
          <w:rPr>
            <w:sz w:val="24"/>
            <w:color w:val="0000ff"/>
          </w:rPr>
          <w:t xml:space="preserve">пунктом 33</w:t>
        </w:r>
      </w:hyperlink>
      <w:r>
        <w:rPr>
          <w:sz w:val="24"/>
        </w:rPr>
        <w:t xml:space="preserve">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w:t>
      </w:r>
      <w:hyperlink w:history="0" r:id="rId62"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spacing w:before="240" w:lineRule="auto"/>
        <w:ind w:firstLine="540"/>
        <w:jc w:val="both"/>
      </w:pPr>
      <w:r>
        <w:rPr>
          <w:sz w:val="24"/>
        </w:rPr>
        <w:t xml:space="preserve">45. Протокол заседания Комиссии оформляется и подписывается членами Комиссии в порядке, предусмотренном </w:t>
      </w:r>
      <w:hyperlink w:history="0" w:anchor="P229" w:tooltip="44. Решение, предусмотренное пунктом 33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44</w:t>
        </w:r>
      </w:hyperlink>
      <w:r>
        <w:rPr>
          <w:sz w:val="24"/>
        </w:rPr>
        <w:t xml:space="preserve"> настоящего Порядка, в течение 10 рабочих дней с даты проведения заседания Комиссии.</w:t>
      </w:r>
    </w:p>
    <w:p>
      <w:pPr>
        <w:pStyle w:val="0"/>
        <w:spacing w:before="240" w:lineRule="auto"/>
        <w:ind w:firstLine="540"/>
        <w:jc w:val="both"/>
      </w:pPr>
      <w:r>
        <w:rPr>
          <w:sz w:val="24"/>
        </w:rPr>
        <w:t xml:space="preserve">46. В протоколе заседания Комиссии по каждому из рассмотренных вопросов о досрочном прекращении права пользования недрами, приостановлении осуществления права пользования недрами и ограничении права пользования недрами указываются:</w:t>
      </w:r>
    </w:p>
    <w:bookmarkStart w:id="232" w:name="P232"/>
    <w:bookmarkEnd w:id="232"/>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государственный регистрационный номер лицензии на пользование недрами и дата ее государственной регистрации;</w:t>
      </w:r>
    </w:p>
    <w:p>
      <w:pPr>
        <w:pStyle w:val="0"/>
        <w:spacing w:before="240" w:lineRule="auto"/>
        <w:ind w:firstLine="540"/>
        <w:jc w:val="both"/>
      </w:pPr>
      <w:r>
        <w:rPr>
          <w:sz w:val="24"/>
        </w:rPr>
        <w:t xml:space="preserve">3) наименование участка недр и его геологические характеристики, краткие сведения о ранее выполненных пользователем недр условиях пользования недрами, предусмотренных лицензией на пользование недрами, по данным федеральных информационных систем и государственных информационных ресурсов Федерального агентства по недропользованию;</w:t>
      </w:r>
    </w:p>
    <w:p>
      <w:pPr>
        <w:pStyle w:val="0"/>
        <w:spacing w:before="240" w:lineRule="auto"/>
        <w:ind w:firstLine="540"/>
        <w:jc w:val="both"/>
      </w:pPr>
      <w:r>
        <w:rPr>
          <w:sz w:val="24"/>
        </w:rPr>
        <w:t xml:space="preserve">4) информация о случае досрочного прекращения права пользования недрами, приостановления осуществления права пользования недрами или ограничения права пользования недрами;</w:t>
      </w:r>
    </w:p>
    <w:bookmarkStart w:id="236" w:name="P236"/>
    <w:bookmarkEnd w:id="236"/>
    <w:p>
      <w:pPr>
        <w:pStyle w:val="0"/>
        <w:spacing w:before="240" w:lineRule="auto"/>
        <w:ind w:firstLine="540"/>
        <w:jc w:val="both"/>
      </w:pPr>
      <w:r>
        <w:rPr>
          <w:sz w:val="24"/>
        </w:rPr>
        <w:t xml:space="preserve">5) информация о возникновении случая, предусмотренного </w:t>
      </w:r>
      <w:hyperlink w:history="0" w:anchor="P72" w:tooltip="7. В соответствии с частью второй статьи 20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досрочно прекращено в случаях:">
        <w:r>
          <w:rPr>
            <w:sz w:val="24"/>
            <w:color w:val="0000ff"/>
          </w:rPr>
          <w:t xml:space="preserve">пунктами 7</w:t>
        </w:r>
      </w:hyperlink>
      <w:r>
        <w:rPr>
          <w:sz w:val="24"/>
        </w:rPr>
        <w:t xml:space="preserve"> - </w:t>
      </w:r>
      <w:hyperlink w:history="0" w:anchor="P89" w:tooltip="9. В соответствии с частью первой статьи 20.2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право пользования недрами может быть ограничено в случаях:">
        <w:r>
          <w:rPr>
            <w:sz w:val="24"/>
            <w:color w:val="0000ff"/>
          </w:rPr>
          <w:t xml:space="preserve">9</w:t>
        </w:r>
      </w:hyperlink>
      <w:r>
        <w:rPr>
          <w:sz w:val="24"/>
        </w:rPr>
        <w:t xml:space="preserve"> настоящего Порядка, краткое описание фактических обстоятельств;</w:t>
      </w:r>
    </w:p>
    <w:p>
      <w:pPr>
        <w:pStyle w:val="0"/>
        <w:spacing w:before="240" w:lineRule="auto"/>
        <w:ind w:firstLine="540"/>
        <w:jc w:val="both"/>
      </w:pPr>
      <w:r>
        <w:rPr>
          <w:sz w:val="24"/>
        </w:rPr>
        <w:t xml:space="preserve">6) информация о письменных пояснениях и (или) возражениях пользователя недр по вопросу досрочного прекращения права пользования недрами, приостановления осуществления права пользования недрами или ограничения права пользования недрами (при наличии);</w:t>
      </w:r>
    </w:p>
    <w:p>
      <w:pPr>
        <w:pStyle w:val="0"/>
        <w:spacing w:before="240" w:lineRule="auto"/>
        <w:ind w:firstLine="540"/>
        <w:jc w:val="both"/>
      </w:pPr>
      <w:r>
        <w:rPr>
          <w:sz w:val="24"/>
        </w:rPr>
        <w:t xml:space="preserve">7) решение Комиссии, предусмотренное </w:t>
      </w:r>
      <w:hyperlink w:history="0" w:anchor="P190" w:tooltip="33. По результатам рассмотрения комплекта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предусмотренного пунктом 22 настоящего Порядка, Комиссия вправе принять следующие решения:">
        <w:r>
          <w:rPr>
            <w:sz w:val="24"/>
            <w:color w:val="0000ff"/>
          </w:rPr>
          <w:t xml:space="preserve">пунктом 33</w:t>
        </w:r>
      </w:hyperlink>
      <w:r>
        <w:rPr>
          <w:sz w:val="24"/>
        </w:rPr>
        <w:t xml:space="preserve"> настоящего Порядка.</w:t>
      </w:r>
    </w:p>
    <w:p>
      <w:pPr>
        <w:pStyle w:val="0"/>
        <w:spacing w:before="240" w:lineRule="auto"/>
        <w:ind w:firstLine="540"/>
        <w:jc w:val="both"/>
      </w:pPr>
      <w:r>
        <w:rPr>
          <w:sz w:val="24"/>
        </w:rPr>
        <w:t xml:space="preserve">К протоколу заседания Комиссии прилагаются особые мнения членов Комиссии (при наличии).</w:t>
      </w:r>
    </w:p>
    <w:p>
      <w:pPr>
        <w:pStyle w:val="0"/>
        <w:spacing w:before="240" w:lineRule="auto"/>
        <w:ind w:firstLine="540"/>
        <w:jc w:val="both"/>
      </w:pPr>
      <w:r>
        <w:rPr>
          <w:sz w:val="24"/>
        </w:rPr>
        <w:t xml:space="preserve">47. Лицо, осуществляющее организационное обеспечение деятельности Комиссии в соответствии с </w:t>
      </w:r>
      <w:hyperlink w:history="0" w:anchor="P55" w:tooltip="4. Заседания Комиссии проводятся очно и (или) посредством использования видео-конференц-связи.">
        <w:r>
          <w:rPr>
            <w:sz w:val="24"/>
            <w:color w:val="0000ff"/>
          </w:rPr>
          <w:t xml:space="preserve">пунктом 4</w:t>
        </w:r>
      </w:hyperlink>
      <w:r>
        <w:rPr>
          <w:sz w:val="24"/>
        </w:rPr>
        <w:t xml:space="preserve"> настоящего Порядка, в течение 5 рабочих дней с даты подписания протокола заседания Комиссии в соответствии с </w:t>
      </w:r>
      <w:hyperlink w:history="0" w:anchor="P229" w:tooltip="44. Решение, предусмотренное пунктом 33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44</w:t>
        </w:r>
      </w:hyperlink>
      <w:r>
        <w:rPr>
          <w:sz w:val="24"/>
        </w:rPr>
        <w:t xml:space="preserve"> настоящего Порядка:</w:t>
      </w:r>
    </w:p>
    <w:p>
      <w:pPr>
        <w:pStyle w:val="0"/>
        <w:spacing w:before="240" w:lineRule="auto"/>
        <w:ind w:firstLine="540"/>
        <w:jc w:val="both"/>
      </w:pPr>
      <w:r>
        <w:rPr>
          <w:sz w:val="24"/>
        </w:rPr>
        <w:t xml:space="preserve">1) размещает подписанный протокол заседания Комиссии в федеральной государственной информационной системе "Автоматизированная система лицензирования недропользования";</w:t>
      </w:r>
    </w:p>
    <w:p>
      <w:pPr>
        <w:pStyle w:val="0"/>
        <w:spacing w:before="240" w:lineRule="auto"/>
        <w:ind w:firstLine="540"/>
        <w:jc w:val="both"/>
      </w:pPr>
      <w:r>
        <w:rPr>
          <w:sz w:val="24"/>
        </w:rPr>
        <w:t xml:space="preserve">2) подготавливает выписки из подписанного в соответствии с </w:t>
      </w:r>
      <w:hyperlink w:history="0" w:anchor="P229" w:tooltip="44. Решение, предусмотренное пунктом 33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44</w:t>
        </w:r>
      </w:hyperlink>
      <w:r>
        <w:rPr>
          <w:sz w:val="24"/>
        </w:rPr>
        <w:t xml:space="preserve"> настоящего Порядка протокола заседания Комиссии по каждому из рассмотренных вопросов и направляет их пользователям недр с использованием Личного кабинета недропользователя, а в случае, если пользователь недр не зарегистрирован в Личном кабинете недропользователя, - заказным письмом с уведомлением о вручении. В случае, если заявление представлено через Портал, выписка из подписанного в соответствии с </w:t>
      </w:r>
      <w:hyperlink w:history="0" w:anchor="P229" w:tooltip="44. Решение, предусмотренное пунктом 33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44</w:t>
        </w:r>
      </w:hyperlink>
      <w:r>
        <w:rPr>
          <w:sz w:val="24"/>
        </w:rPr>
        <w:t xml:space="preserve"> настоящего Порядка протокола заседания Комиссии направляется пользователю недр с использованием Портала.</w:t>
      </w:r>
    </w:p>
    <w:p>
      <w:pPr>
        <w:pStyle w:val="0"/>
        <w:jc w:val="both"/>
      </w:pPr>
      <w:r>
        <w:rPr>
          <w:sz w:val="24"/>
        </w:rPr>
      </w:r>
    </w:p>
    <w:p>
      <w:pPr>
        <w:pStyle w:val="2"/>
        <w:outlineLvl w:val="1"/>
        <w:jc w:val="center"/>
      </w:pPr>
      <w:r>
        <w:rPr>
          <w:sz w:val="24"/>
        </w:rPr>
        <w:t xml:space="preserve">VII. Размещение информации о прекращении права</w:t>
      </w:r>
    </w:p>
    <w:p>
      <w:pPr>
        <w:pStyle w:val="2"/>
        <w:jc w:val="center"/>
      </w:pPr>
      <w:r>
        <w:rPr>
          <w:sz w:val="24"/>
        </w:rPr>
        <w:t xml:space="preserve">пользования недрами, в том числе досрочном, приостановлении</w:t>
      </w:r>
    </w:p>
    <w:p>
      <w:pPr>
        <w:pStyle w:val="2"/>
        <w:jc w:val="center"/>
      </w:pPr>
      <w:r>
        <w:rPr>
          <w:sz w:val="24"/>
        </w:rPr>
        <w:t xml:space="preserve">осуществления права пользования недрами и ограничении права</w:t>
      </w:r>
    </w:p>
    <w:p>
      <w:pPr>
        <w:pStyle w:val="2"/>
        <w:jc w:val="center"/>
      </w:pPr>
      <w:r>
        <w:rPr>
          <w:sz w:val="24"/>
        </w:rPr>
        <w:t xml:space="preserve">пользования недрами в государственном реестре участков</w:t>
      </w:r>
    </w:p>
    <w:p>
      <w:pPr>
        <w:pStyle w:val="2"/>
        <w:jc w:val="center"/>
      </w:pPr>
      <w:r>
        <w:rPr>
          <w:sz w:val="24"/>
        </w:rPr>
        <w:t xml:space="preserve">недр, предоставленных в пользование, и лицензий</w:t>
      </w:r>
    </w:p>
    <w:p>
      <w:pPr>
        <w:pStyle w:val="2"/>
        <w:jc w:val="center"/>
      </w:pPr>
      <w:r>
        <w:rPr>
          <w:sz w:val="24"/>
        </w:rPr>
        <w:t xml:space="preserve">на пользование недрами</w:t>
      </w:r>
    </w:p>
    <w:p>
      <w:pPr>
        <w:pStyle w:val="0"/>
        <w:jc w:val="both"/>
      </w:pPr>
      <w:r>
        <w:rPr>
          <w:sz w:val="24"/>
        </w:rPr>
      </w:r>
    </w:p>
    <w:p>
      <w:pPr>
        <w:pStyle w:val="0"/>
        <w:ind w:firstLine="540"/>
        <w:jc w:val="both"/>
      </w:pPr>
      <w:r>
        <w:rPr>
          <w:sz w:val="24"/>
        </w:rPr>
        <w:t xml:space="preserve">48. Запись о прекращении права пользования недрами вносится в государственный реестр участков недр, предоставленных в пользование, и лицензий на пользование недрами, предусмотренный </w:t>
      </w:r>
      <w:hyperlink w:history="0" r:id="rId63"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в автоматическом режиме не позднее 1 рабочего дня, следующего за днем истечения срока действия лицензии на пользование недрами.</w:t>
      </w:r>
    </w:p>
    <w:p>
      <w:pPr>
        <w:pStyle w:val="0"/>
        <w:spacing w:before="240" w:lineRule="auto"/>
        <w:ind w:firstLine="540"/>
        <w:jc w:val="both"/>
      </w:pPr>
      <w:r>
        <w:rPr>
          <w:sz w:val="24"/>
        </w:rPr>
        <w:t xml:space="preserve">49. В случае принятия Комиссией решения о досрочном прекращении права пользования недрами, приостановлении осуществления права пользования недрами или ограничении права пользования недрами в течение 1 рабочего дня со дня размещения подписанного в соответствии с </w:t>
      </w:r>
      <w:hyperlink w:history="0" w:anchor="P229" w:tooltip="44. Решение, предусмотренное пунктом 33 настоящего Порядка, оформляется протоколом заседания Комиссии в виде электронного документа, подписанного всеми присутствующими на заседании членами Комиссии с использованием электронной подписи в соответствии с требованиями Федерального закона &quot;Об электронной подписи&quot;.">
        <w:r>
          <w:rPr>
            <w:sz w:val="24"/>
            <w:color w:val="0000ff"/>
          </w:rPr>
          <w:t xml:space="preserve">пунктом 44</w:t>
        </w:r>
      </w:hyperlink>
      <w:r>
        <w:rPr>
          <w:sz w:val="24"/>
        </w:rPr>
        <w:t xml:space="preserve"> настоящего Порядка протокола заседания Комиссии в федеральной государственной информационной системе "Автоматизированная система лицензирования недропользования" в государственный реестр участков недр, предоставленных в пользование, и лицензий на пользование недрами, предусмотренный </w:t>
      </w:r>
      <w:hyperlink w:history="0" r:id="rId64"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вносится запись о досрочном прекращении права пользования недрами, приостановлении осуществления права пользования недрами или ограничении права пользования недрами.</w:t>
      </w:r>
    </w:p>
    <w:p>
      <w:pPr>
        <w:pStyle w:val="0"/>
        <w:spacing w:before="240" w:lineRule="auto"/>
        <w:ind w:firstLine="540"/>
        <w:jc w:val="both"/>
      </w:pPr>
      <w:r>
        <w:rPr>
          <w:sz w:val="24"/>
        </w:rPr>
        <w:t xml:space="preserve">Федеральное агентство по недропользованию или его территориальный орган обеспечивает хранение электронных версий поступивших заявок и прилагаемых к ним документов и сведений, а также журналов учета операций по указанным заявлениям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134" w:tooltip="21. Поступившее заявление регистрируется Федеральным агентством по недропользованию или его территориальным органом в день его поступления. При регистрации заявления ему присваивается регистрационный номер, а также указывается дата и местное время (часы и минуты) его поступления. В случае подачи заявления с использованием Портала или Личного кабинета недропользователя указание даты и местного времени (часов и минут) его поступления осуществляется с использованием программно-аппаратных средств Портала или...">
        <w:r>
          <w:rPr>
            <w:sz w:val="24"/>
            <w:color w:val="0000ff"/>
          </w:rPr>
          <w:t xml:space="preserve">пунктом 21</w:t>
        </w:r>
      </w:hyperlink>
      <w:r>
        <w:rPr>
          <w:sz w:val="24"/>
        </w:rPr>
        <w:t xml:space="preserve"> настоящего Порядка.</w:t>
      </w:r>
    </w:p>
    <w:p>
      <w:pPr>
        <w:pStyle w:val="0"/>
        <w:jc w:val="both"/>
      </w:pPr>
      <w:r>
        <w:rPr>
          <w:sz w:val="24"/>
        </w:rPr>
      </w:r>
    </w:p>
    <w:p>
      <w:pPr>
        <w:pStyle w:val="2"/>
        <w:outlineLvl w:val="1"/>
        <w:jc w:val="center"/>
      </w:pPr>
      <w:r>
        <w:rPr>
          <w:sz w:val="24"/>
        </w:rPr>
        <w:t xml:space="preserve">VIII. Обжалование действий (бездействия) должностных</w:t>
      </w:r>
    </w:p>
    <w:p>
      <w:pPr>
        <w:pStyle w:val="2"/>
        <w:jc w:val="center"/>
      </w:pPr>
      <w:r>
        <w:rPr>
          <w:sz w:val="24"/>
        </w:rPr>
        <w:t xml:space="preserve">лиц Федерального агентства по недропользованию или его</w:t>
      </w:r>
    </w:p>
    <w:p>
      <w:pPr>
        <w:pStyle w:val="2"/>
        <w:jc w:val="center"/>
      </w:pPr>
      <w:r>
        <w:rPr>
          <w:sz w:val="24"/>
        </w:rPr>
        <w:t xml:space="preserve">территориальных органов, уполномоченных работников ФГКУ</w:t>
      </w:r>
    </w:p>
    <w:p>
      <w:pPr>
        <w:pStyle w:val="2"/>
        <w:jc w:val="center"/>
      </w:pPr>
      <w:r>
        <w:rPr>
          <w:sz w:val="24"/>
        </w:rPr>
        <w:t xml:space="preserve">"Росгеолэкспертиза", а также решения Комиссии о досрочном</w:t>
      </w:r>
    </w:p>
    <w:p>
      <w:pPr>
        <w:pStyle w:val="2"/>
        <w:jc w:val="center"/>
      </w:pPr>
      <w:r>
        <w:rPr>
          <w:sz w:val="24"/>
        </w:rPr>
        <w:t xml:space="preserve">прекращении права пользования недрами, приостановлении</w:t>
      </w:r>
    </w:p>
    <w:p>
      <w:pPr>
        <w:pStyle w:val="2"/>
        <w:jc w:val="center"/>
      </w:pPr>
      <w:r>
        <w:rPr>
          <w:sz w:val="24"/>
        </w:rPr>
        <w:t xml:space="preserve">осуществления права пользования недрами и ограничении</w:t>
      </w:r>
    </w:p>
    <w:p>
      <w:pPr>
        <w:pStyle w:val="2"/>
        <w:jc w:val="center"/>
      </w:pPr>
      <w:r>
        <w:rPr>
          <w:sz w:val="24"/>
        </w:rPr>
        <w:t xml:space="preserve">права пользования недрами</w:t>
      </w:r>
    </w:p>
    <w:p>
      <w:pPr>
        <w:pStyle w:val="0"/>
        <w:jc w:val="both"/>
      </w:pPr>
      <w:r>
        <w:rPr>
          <w:sz w:val="24"/>
        </w:rPr>
      </w:r>
    </w:p>
    <w:bookmarkStart w:id="263" w:name="P263"/>
    <w:bookmarkEnd w:id="263"/>
    <w:p>
      <w:pPr>
        <w:pStyle w:val="0"/>
        <w:ind w:firstLine="540"/>
        <w:jc w:val="both"/>
      </w:pPr>
      <w:r>
        <w:rPr>
          <w:sz w:val="24"/>
        </w:rPr>
        <w:t xml:space="preserve">50. Пользователь недр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в Федеральное агентство по недропользованию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Пользователь недр вправе обжаловать действия (бездействие) и решения должностных лиц Федерального агентства по недропользованию, а также решения Комиссии, создаваемой Федеральным агентством по недропользованию, посредством подачи жалобы в Министерство природных ресурсов и экологии Российской Федерации на имя Министра природных ресурсов и экологии Российской Федерации.</w:t>
      </w:r>
    </w:p>
    <w:p>
      <w:pPr>
        <w:pStyle w:val="0"/>
        <w:spacing w:before="240" w:lineRule="auto"/>
        <w:ind w:firstLine="540"/>
        <w:jc w:val="both"/>
      </w:pPr>
      <w:r>
        <w:rPr>
          <w:sz w:val="24"/>
        </w:rPr>
        <w:t xml:space="preserve">51. В случае признания жалобы пользователя недр на решение Комиссии о досрочном прекращении права пользования недрами, приостановлении осуществления права пользования недрами или ограничении права пользования недрами обоснованной,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предусмотренный </w:t>
      </w:r>
      <w:hyperlink w:history="0" w:anchor="P144" w:tooltip="22. Лицо, осуществляющее организационное обеспечение деятельности Комиссии в соответствии с пунктом 4 настоящего Порядка, готовит комплект документов по досрочному прекращению права пользования недрами, приостановлению осуществления права пользования недрами или ограничению права пользования недрами для рассмотрения Комиссией, который включает в себя следующие документы и сведения в отношении каждого случая досрочного прекращения права пользования недрами, приостановления осуществления права пользования ...">
        <w:r>
          <w:rPr>
            <w:sz w:val="24"/>
            <w:color w:val="0000ff"/>
          </w:rPr>
          <w:t xml:space="preserve">пунктом 22</w:t>
        </w:r>
      </w:hyperlink>
      <w:r>
        <w:rPr>
          <w:sz w:val="24"/>
        </w:rPr>
        <w:t xml:space="preserve"> настоящего Порядка, подлежит повторному рассмотрению на Комиссии в сроки, предусмотренные </w:t>
      </w:r>
      <w:hyperlink w:history="0" w:anchor="P158" w:tooltip="3) в течение 10 рабочих дней с даты вступления в законную силу решения суда или со дня вынесения органом, указанным в пункте 50 настоящего Порядка, решения о признании жалобы пользователя недр на решение о досрочном прекращении права пользования недрами, приостановлении осуществления права пользования недрами или ограничении права пользования недрами обоснованной.">
        <w:r>
          <w:rPr>
            <w:sz w:val="24"/>
            <w:color w:val="0000ff"/>
          </w:rPr>
          <w:t xml:space="preserve">подпунктом 3 пункта 23</w:t>
        </w:r>
      </w:hyperlink>
      <w:r>
        <w:rPr>
          <w:sz w:val="24"/>
        </w:rPr>
        <w:t xml:space="preserve"> настоящего Порядка.</w:t>
      </w:r>
    </w:p>
    <w:p>
      <w:pPr>
        <w:pStyle w:val="0"/>
        <w:spacing w:before="240" w:lineRule="auto"/>
        <w:ind w:firstLine="540"/>
        <w:jc w:val="both"/>
      </w:pPr>
      <w:r>
        <w:rPr>
          <w:sz w:val="24"/>
        </w:rPr>
        <w:t xml:space="preserve">52. Право пользования недрами по лицензии на пользование недрами считается восстановленным с даты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w:t>
      </w:r>
      <w:hyperlink w:history="0" r:id="rId65"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прекращения права</w:t>
      </w:r>
    </w:p>
    <w:p>
      <w:pPr>
        <w:pStyle w:val="0"/>
        <w:jc w:val="right"/>
      </w:pPr>
      <w:r>
        <w:rPr>
          <w:sz w:val="24"/>
        </w:rPr>
        <w:t xml:space="preserve">пользования недрами, в том числе</w:t>
      </w:r>
    </w:p>
    <w:p>
      <w:pPr>
        <w:pStyle w:val="0"/>
        <w:jc w:val="right"/>
      </w:pPr>
      <w:r>
        <w:rPr>
          <w:sz w:val="24"/>
        </w:rPr>
        <w:t xml:space="preserve">досрочного, приостановления</w:t>
      </w:r>
    </w:p>
    <w:p>
      <w:pPr>
        <w:pStyle w:val="0"/>
        <w:jc w:val="right"/>
      </w:pPr>
      <w:r>
        <w:rPr>
          <w:sz w:val="24"/>
        </w:rPr>
        <w:t xml:space="preserve">осуществления права пользования</w:t>
      </w:r>
    </w:p>
    <w:p>
      <w:pPr>
        <w:pStyle w:val="0"/>
        <w:jc w:val="right"/>
      </w:pPr>
      <w:r>
        <w:rPr>
          <w:sz w:val="24"/>
        </w:rPr>
        <w:t xml:space="preserve">недрами и ограничения права</w:t>
      </w:r>
    </w:p>
    <w:p>
      <w:pPr>
        <w:pStyle w:val="0"/>
        <w:jc w:val="right"/>
      </w:pPr>
      <w:r>
        <w:rPr>
          <w:sz w:val="24"/>
        </w:rPr>
        <w:t xml:space="preserve">пользования недрами, утвержденному</w:t>
      </w:r>
    </w:p>
    <w:p>
      <w:pPr>
        <w:pStyle w:val="0"/>
        <w:jc w:val="right"/>
      </w:pPr>
      <w:r>
        <w:rPr>
          <w:sz w:val="24"/>
        </w:rPr>
        <w:t xml:space="preserve">приказом Минприроды России и Роснедр</w:t>
      </w:r>
    </w:p>
    <w:p>
      <w:pPr>
        <w:pStyle w:val="0"/>
        <w:jc w:val="right"/>
      </w:pPr>
      <w:r>
        <w:rPr>
          <w:sz w:val="24"/>
        </w:rPr>
        <w:t xml:space="preserve">от 13 октября 2021 г. N 743/08</w:t>
      </w:r>
    </w:p>
    <w:p>
      <w:pPr>
        <w:pStyle w:val="0"/>
        <w:jc w:val="both"/>
      </w:pPr>
      <w:r>
        <w:rPr>
          <w:sz w:val="24"/>
        </w:rPr>
      </w:r>
    </w:p>
    <w:bookmarkStart w:id="282" w:name="P282"/>
    <w:bookmarkEnd w:id="282"/>
    <w:p>
      <w:pPr>
        <w:pStyle w:val="2"/>
        <w:jc w:val="center"/>
      </w:pPr>
      <w:r>
        <w:rPr>
          <w:sz w:val="24"/>
        </w:rPr>
        <w:t xml:space="preserve">ПРЕДЕЛЬНЫЕ ОБЪЕМЫ</w:t>
      </w:r>
    </w:p>
    <w:p>
      <w:pPr>
        <w:pStyle w:val="2"/>
        <w:jc w:val="center"/>
      </w:pPr>
      <w:r>
        <w:rPr>
          <w:sz w:val="24"/>
        </w:rPr>
        <w:t xml:space="preserve">БАЛАНСОВЫХ ЗАПАСОВ И ПРОГНОЗНЫХ РЕСУРСОВ ПОЛЕЗНЫХ</w:t>
      </w:r>
    </w:p>
    <w:p>
      <w:pPr>
        <w:pStyle w:val="2"/>
        <w:jc w:val="center"/>
      </w:pPr>
      <w:r>
        <w:rPr>
          <w:sz w:val="24"/>
        </w:rPr>
        <w:t xml:space="preserve">ИСКОПАЕМЫХ, ЗАЛЕГАЮЩИХ НА УЧАСТКЕ НЕДР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4"/>
        <w:gridCol w:w="1406"/>
        <w:gridCol w:w="2005"/>
        <w:gridCol w:w="2005"/>
      </w:tblGrid>
      <w:tr>
        <w:tc>
          <w:tcPr>
            <w:tcW w:w="3624" w:type="dxa"/>
            <w:vMerge w:val="restart"/>
          </w:tcPr>
          <w:p>
            <w:pPr>
              <w:pStyle w:val="0"/>
              <w:jc w:val="center"/>
            </w:pPr>
            <w:r>
              <w:rPr>
                <w:sz w:val="24"/>
              </w:rPr>
              <w:t xml:space="preserve">Полезные ископаемые месторождений или проявлений на участках недр</w:t>
            </w:r>
          </w:p>
        </w:tc>
        <w:tc>
          <w:tcPr>
            <w:tcW w:w="1406" w:type="dxa"/>
            <w:vMerge w:val="restart"/>
          </w:tcPr>
          <w:p>
            <w:pPr>
              <w:pStyle w:val="0"/>
              <w:jc w:val="center"/>
            </w:pPr>
            <w:r>
              <w:rPr>
                <w:sz w:val="24"/>
              </w:rPr>
              <w:t xml:space="preserve">Единица измерения</w:t>
            </w:r>
          </w:p>
        </w:tc>
        <w:tc>
          <w:tcPr>
            <w:gridSpan w:val="2"/>
            <w:tcW w:w="4010" w:type="dxa"/>
          </w:tcPr>
          <w:p>
            <w:pPr>
              <w:pStyle w:val="0"/>
              <w:jc w:val="center"/>
            </w:pPr>
            <w:r>
              <w:rPr>
                <w:sz w:val="24"/>
              </w:rPr>
              <w:t xml:space="preserve">Максимальное количество</w:t>
            </w:r>
          </w:p>
        </w:tc>
      </w:tr>
      <w:tr>
        <w:tc>
          <w:tcPr>
            <w:vMerge w:val="continue"/>
          </w:tcPr>
          <w:p/>
        </w:tc>
        <w:tc>
          <w:tcPr>
            <w:vMerge w:val="continue"/>
          </w:tcPr>
          <w:p/>
        </w:tc>
        <w:tc>
          <w:tcPr>
            <w:tcW w:w="2005" w:type="dxa"/>
          </w:tcPr>
          <w:p>
            <w:pPr>
              <w:pStyle w:val="0"/>
              <w:jc w:val="center"/>
            </w:pPr>
            <w:r>
              <w:rPr>
                <w:sz w:val="24"/>
              </w:rPr>
              <w:t xml:space="preserve">балансовых запасов полезных ископаемых по категориям A + B + C</w:t>
            </w:r>
            <w:r>
              <w:rPr>
                <w:sz w:val="24"/>
                <w:vertAlign w:val="subscript"/>
              </w:rPr>
              <w:t xml:space="preserve">1</w:t>
            </w:r>
            <w:r>
              <w:rPr>
                <w:sz w:val="24"/>
              </w:rPr>
              <w:t xml:space="preserve"> + C</w:t>
            </w:r>
            <w:r>
              <w:rPr>
                <w:sz w:val="24"/>
                <w:vertAlign w:val="subscript"/>
              </w:rPr>
              <w:t xml:space="preserve">2</w:t>
            </w:r>
          </w:p>
        </w:tc>
        <w:tc>
          <w:tcPr>
            <w:tcW w:w="2005" w:type="dxa"/>
          </w:tcPr>
          <w:p>
            <w:pPr>
              <w:pStyle w:val="0"/>
              <w:jc w:val="center"/>
            </w:pPr>
            <w:r>
              <w:rPr>
                <w:sz w:val="24"/>
              </w:rPr>
              <w:t xml:space="preserve">прогнозных ресурсов полезных ископаемых по категориям P</w:t>
            </w:r>
            <w:r>
              <w:rPr>
                <w:sz w:val="24"/>
                <w:vertAlign w:val="subscript"/>
              </w:rPr>
              <w:t xml:space="preserve">1</w:t>
            </w:r>
            <w:r>
              <w:rPr>
                <w:sz w:val="24"/>
              </w:rPr>
              <w:t xml:space="preserve"> + P</w:t>
            </w:r>
            <w:r>
              <w:rPr>
                <w:sz w:val="24"/>
                <w:vertAlign w:val="subscript"/>
              </w:rPr>
              <w:t xml:space="preserve">2</w:t>
            </w:r>
            <w:r>
              <w:rPr>
                <w:sz w:val="24"/>
              </w:rPr>
              <w:t xml:space="preserve"> + P</w:t>
            </w:r>
            <w:r>
              <w:rPr>
                <w:sz w:val="24"/>
                <w:vertAlign w:val="subscript"/>
              </w:rPr>
              <w:t xml:space="preserve">3</w:t>
            </w:r>
            <w:r>
              <w:rPr>
                <w:sz w:val="24"/>
              </w:rPr>
              <w:t xml:space="preserve"> (D</w:t>
            </w:r>
            <w:r>
              <w:rPr>
                <w:sz w:val="24"/>
                <w:vertAlign w:val="subscript"/>
              </w:rPr>
              <w:t xml:space="preserve">0</w:t>
            </w:r>
            <w:r>
              <w:rPr>
                <w:sz w:val="24"/>
              </w:rPr>
              <w:t xml:space="preserve"> + D</w:t>
            </w:r>
            <w:r>
              <w:rPr>
                <w:sz w:val="24"/>
                <w:vertAlign w:val="subscript"/>
              </w:rPr>
              <w:t xml:space="preserve">л</w:t>
            </w:r>
            <w:r>
              <w:rPr>
                <w:sz w:val="24"/>
              </w:rPr>
              <w:t xml:space="preserve"> + D</w:t>
            </w:r>
            <w:r>
              <w:rPr>
                <w:sz w:val="24"/>
                <w:vertAlign w:val="subscript"/>
              </w:rPr>
              <w:t xml:space="preserve">1</w:t>
            </w:r>
            <w:r>
              <w:rPr>
                <w:sz w:val="24"/>
              </w:rPr>
              <w:t xml:space="preserve"> + D</w:t>
            </w:r>
            <w:r>
              <w:rPr>
                <w:sz w:val="24"/>
                <w:vertAlign w:val="subscript"/>
              </w:rPr>
              <w:t xml:space="preserve">2</w:t>
            </w:r>
            <w:r>
              <w:rPr>
                <w:sz w:val="24"/>
              </w:rPr>
              <w:t xml:space="preserve">)</w:t>
            </w:r>
          </w:p>
        </w:tc>
      </w:tr>
      <w:tr>
        <w:tc>
          <w:tcPr>
            <w:tcW w:w="3624" w:type="dxa"/>
          </w:tcPr>
          <w:p>
            <w:pPr>
              <w:pStyle w:val="0"/>
              <w:jc w:val="center"/>
            </w:pPr>
            <w:r>
              <w:rPr>
                <w:sz w:val="24"/>
              </w:rPr>
              <w:t xml:space="preserve">1</w:t>
            </w:r>
          </w:p>
        </w:tc>
        <w:tc>
          <w:tcPr>
            <w:tcW w:w="1406" w:type="dxa"/>
          </w:tcPr>
          <w:p>
            <w:pPr>
              <w:pStyle w:val="0"/>
              <w:jc w:val="center"/>
            </w:pPr>
            <w:r>
              <w:rPr>
                <w:sz w:val="24"/>
              </w:rPr>
              <w:t xml:space="preserve">2</w:t>
            </w:r>
          </w:p>
        </w:tc>
        <w:tc>
          <w:tcPr>
            <w:tcW w:w="2005" w:type="dxa"/>
          </w:tcPr>
          <w:p>
            <w:pPr>
              <w:pStyle w:val="0"/>
              <w:jc w:val="center"/>
            </w:pPr>
            <w:r>
              <w:rPr>
                <w:sz w:val="24"/>
              </w:rPr>
              <w:t xml:space="preserve">3</w:t>
            </w:r>
          </w:p>
        </w:tc>
        <w:tc>
          <w:tcPr>
            <w:tcW w:w="2005" w:type="dxa"/>
          </w:tcPr>
          <w:p>
            <w:pPr>
              <w:pStyle w:val="0"/>
              <w:jc w:val="center"/>
            </w:pPr>
            <w:r>
              <w:rPr>
                <w:sz w:val="24"/>
              </w:rPr>
              <w:t xml:space="preserve">4</w:t>
            </w:r>
          </w:p>
        </w:tc>
      </w:tr>
      <w:tr>
        <w:tc>
          <w:tcPr>
            <w:gridSpan w:val="4"/>
            <w:tcW w:w="9040" w:type="dxa"/>
          </w:tcPr>
          <w:p>
            <w:pPr>
              <w:pStyle w:val="0"/>
              <w:outlineLvl w:val="2"/>
            </w:pPr>
            <w:r>
              <w:rPr>
                <w:sz w:val="24"/>
              </w:rPr>
              <w:t xml:space="preserve">I. Углеводородное сырье</w:t>
            </w:r>
          </w:p>
        </w:tc>
      </w:tr>
      <w:tr>
        <w:tc>
          <w:tcPr>
            <w:tcW w:w="3624" w:type="dxa"/>
          </w:tcPr>
          <w:p>
            <w:pPr>
              <w:pStyle w:val="0"/>
            </w:pPr>
            <w:r>
              <w:rPr>
                <w:sz w:val="24"/>
              </w:rPr>
              <w:t xml:space="preserve">Нефть</w:t>
            </w:r>
          </w:p>
        </w:tc>
        <w:tc>
          <w:tcPr>
            <w:tcW w:w="1406" w:type="dxa"/>
          </w:tcPr>
          <w:p>
            <w:pPr>
              <w:pStyle w:val="0"/>
              <w:jc w:val="center"/>
            </w:pPr>
            <w:r>
              <w:rPr>
                <w:sz w:val="24"/>
              </w:rPr>
              <w:t xml:space="preserve">млн. т (извл.)</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pPr>
            <w:r>
              <w:rPr>
                <w:sz w:val="24"/>
              </w:rPr>
              <w:t xml:space="preserve">Газ</w:t>
            </w:r>
          </w:p>
        </w:tc>
        <w:tc>
          <w:tcPr>
            <w:tcW w:w="1406" w:type="dxa"/>
          </w:tcPr>
          <w:p>
            <w:pPr>
              <w:pStyle w:val="0"/>
              <w:jc w:val="center"/>
            </w:pPr>
            <w:r>
              <w:rPr>
                <w:sz w:val="24"/>
              </w:rPr>
              <w:t xml:space="preserve">млрд. м</w:t>
            </w:r>
            <w:r>
              <w:rPr>
                <w:sz w:val="24"/>
                <w:vertAlign w:val="superscript"/>
              </w:rPr>
              <w:t xml:space="preserve">3</w:t>
            </w:r>
            <w:r>
              <w:rPr>
                <w:sz w:val="24"/>
              </w:rPr>
              <w:t xml:space="preserve"> (извл.)</w:t>
            </w:r>
          </w:p>
        </w:tc>
        <w:tc>
          <w:tcPr>
            <w:tcW w:w="2005" w:type="dxa"/>
          </w:tcPr>
          <w:p>
            <w:pPr>
              <w:pStyle w:val="0"/>
              <w:jc w:val="center"/>
            </w:pPr>
            <w:r>
              <w:rPr>
                <w:sz w:val="24"/>
              </w:rPr>
              <w:t xml:space="preserve">3</w:t>
            </w:r>
          </w:p>
        </w:tc>
        <w:tc>
          <w:tcPr>
            <w:tcW w:w="2005" w:type="dxa"/>
          </w:tcPr>
          <w:p>
            <w:pPr>
              <w:pStyle w:val="0"/>
              <w:jc w:val="center"/>
            </w:pPr>
            <w:r>
              <w:rPr>
                <w:sz w:val="24"/>
              </w:rPr>
              <w:t xml:space="preserve">5</w:t>
            </w:r>
          </w:p>
        </w:tc>
      </w:tr>
      <w:tr>
        <w:tc>
          <w:tcPr>
            <w:gridSpan w:val="4"/>
            <w:tcW w:w="9040" w:type="dxa"/>
          </w:tcPr>
          <w:p>
            <w:pPr>
              <w:pStyle w:val="0"/>
              <w:outlineLvl w:val="2"/>
            </w:pPr>
            <w:r>
              <w:rPr>
                <w:sz w:val="24"/>
              </w:rPr>
              <w:t xml:space="preserve">II. Энергетическое сырье</w:t>
            </w:r>
          </w:p>
        </w:tc>
      </w:tr>
      <w:tr>
        <w:tc>
          <w:tcPr>
            <w:tcW w:w="3624" w:type="dxa"/>
          </w:tcPr>
          <w:p>
            <w:pPr>
              <w:pStyle w:val="0"/>
            </w:pPr>
            <w:r>
              <w:rPr>
                <w:sz w:val="24"/>
              </w:rPr>
              <w:t xml:space="preserve">Уголь каменный и антрацит</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pPr>
            <w:r>
              <w:rPr>
                <w:sz w:val="24"/>
              </w:rPr>
              <w:t xml:space="preserve">Уголь бурый</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100</w:t>
            </w:r>
          </w:p>
        </w:tc>
        <w:tc>
          <w:tcPr>
            <w:tcW w:w="2005" w:type="dxa"/>
          </w:tcPr>
          <w:p>
            <w:pPr>
              <w:pStyle w:val="0"/>
              <w:jc w:val="center"/>
            </w:pPr>
            <w:r>
              <w:rPr>
                <w:sz w:val="24"/>
              </w:rPr>
              <w:t xml:space="preserve">200</w:t>
            </w:r>
          </w:p>
        </w:tc>
      </w:tr>
      <w:tr>
        <w:tc>
          <w:tcPr>
            <w:tcW w:w="3624" w:type="dxa"/>
          </w:tcPr>
          <w:p>
            <w:pPr>
              <w:pStyle w:val="0"/>
            </w:pPr>
            <w:r>
              <w:rPr>
                <w:sz w:val="24"/>
              </w:rPr>
              <w:t xml:space="preserve">Торф и горючие сланцы</w:t>
            </w:r>
          </w:p>
        </w:tc>
        <w:tc>
          <w:tcPr>
            <w:gridSpan w:val="3"/>
            <w:tcW w:w="5416" w:type="dxa"/>
          </w:tcPr>
          <w:p>
            <w:pPr>
              <w:pStyle w:val="0"/>
            </w:pPr>
            <w:r>
              <w:rPr>
                <w:sz w:val="24"/>
              </w:rPr>
              <w:t xml:space="preserve">Без ограничений</w:t>
            </w:r>
          </w:p>
        </w:tc>
      </w:tr>
      <w:tr>
        <w:tc>
          <w:tcPr>
            <w:gridSpan w:val="4"/>
            <w:tcW w:w="9040" w:type="dxa"/>
          </w:tcPr>
          <w:p>
            <w:pPr>
              <w:pStyle w:val="0"/>
              <w:outlineLvl w:val="2"/>
            </w:pPr>
            <w:r>
              <w:rPr>
                <w:sz w:val="24"/>
              </w:rPr>
              <w:t xml:space="preserve">III. Черные металлы</w:t>
            </w:r>
          </w:p>
        </w:tc>
      </w:tr>
      <w:tr>
        <w:tc>
          <w:tcPr>
            <w:tcW w:w="3624" w:type="dxa"/>
          </w:tcPr>
          <w:p>
            <w:pPr>
              <w:pStyle w:val="0"/>
            </w:pPr>
            <w:r>
              <w:rPr>
                <w:sz w:val="24"/>
              </w:rPr>
              <w:t xml:space="preserve">Железные руды</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100</w:t>
            </w:r>
          </w:p>
        </w:tc>
        <w:tc>
          <w:tcPr>
            <w:tcW w:w="2005" w:type="dxa"/>
          </w:tcPr>
          <w:p>
            <w:pPr>
              <w:pStyle w:val="0"/>
              <w:jc w:val="center"/>
            </w:pPr>
            <w:r>
              <w:rPr>
                <w:sz w:val="24"/>
              </w:rPr>
              <w:t xml:space="preserve">200</w:t>
            </w:r>
          </w:p>
        </w:tc>
      </w:tr>
      <w:tr>
        <w:tc>
          <w:tcPr>
            <w:tcW w:w="3624" w:type="dxa"/>
          </w:tcPr>
          <w:p>
            <w:pPr>
              <w:pStyle w:val="0"/>
            </w:pPr>
            <w:r>
              <w:rPr>
                <w:sz w:val="24"/>
              </w:rPr>
              <w:t xml:space="preserve">Марганцевые руды</w:t>
            </w:r>
          </w:p>
        </w:tc>
        <w:tc>
          <w:tcPr>
            <w:tcW w:w="1406" w:type="dxa"/>
          </w:tcPr>
          <w:p>
            <w:pPr>
              <w:pStyle w:val="0"/>
              <w:jc w:val="center"/>
            </w:pPr>
            <w:r>
              <w:rPr>
                <w:sz w:val="24"/>
              </w:rPr>
              <w:t xml:space="preserve">млн. т</w:t>
            </w:r>
          </w:p>
        </w:tc>
        <w:tc>
          <w:tcPr>
            <w:tcW w:w="2005" w:type="dxa"/>
          </w:tcPr>
          <w:p>
            <w:pPr>
              <w:pStyle w:val="0"/>
              <w:jc w:val="center"/>
            </w:pPr>
            <w:r>
              <w:rPr>
                <w:sz w:val="24"/>
              </w:rPr>
              <w:t xml:space="preserve">3</w:t>
            </w:r>
          </w:p>
        </w:tc>
        <w:tc>
          <w:tcPr>
            <w:tcW w:w="2005" w:type="dxa"/>
          </w:tcPr>
          <w:p>
            <w:pPr>
              <w:pStyle w:val="0"/>
              <w:jc w:val="center"/>
            </w:pPr>
            <w:r>
              <w:rPr>
                <w:sz w:val="24"/>
              </w:rPr>
              <w:t xml:space="preserve">6</w:t>
            </w:r>
          </w:p>
        </w:tc>
      </w:tr>
      <w:tr>
        <w:tc>
          <w:tcPr>
            <w:tcW w:w="3624" w:type="dxa"/>
          </w:tcPr>
          <w:p>
            <w:pPr>
              <w:pStyle w:val="0"/>
            </w:pPr>
            <w:r>
              <w:rPr>
                <w:sz w:val="24"/>
              </w:rPr>
              <w:t xml:space="preserve">Хромовые руды</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gridSpan w:val="4"/>
            <w:tcW w:w="9040" w:type="dxa"/>
          </w:tcPr>
          <w:p>
            <w:pPr>
              <w:pStyle w:val="0"/>
              <w:outlineLvl w:val="2"/>
            </w:pPr>
            <w:r>
              <w:rPr>
                <w:sz w:val="24"/>
              </w:rPr>
              <w:t xml:space="preserve">IV. Цветные и редкие металлы</w:t>
            </w:r>
          </w:p>
        </w:tc>
      </w:tr>
      <w:tr>
        <w:tc>
          <w:tcPr>
            <w:tcW w:w="3624" w:type="dxa"/>
          </w:tcPr>
          <w:p>
            <w:pPr>
              <w:pStyle w:val="0"/>
              <w:jc w:val="both"/>
            </w:pPr>
            <w:r>
              <w:rPr>
                <w:sz w:val="24"/>
              </w:rPr>
              <w:t xml:space="preserve">Алюминиевое сырье, в т.ч. бокситы для производства глинозема, алуниты, нефелины</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jc w:val="both"/>
            </w:pPr>
            <w:r>
              <w:rPr>
                <w:sz w:val="24"/>
              </w:rPr>
              <w:t xml:space="preserve">Вольфрам</w:t>
            </w:r>
          </w:p>
        </w:tc>
        <w:tc>
          <w:tcPr>
            <w:tcW w:w="1406" w:type="dxa"/>
          </w:tcPr>
          <w:p>
            <w:pPr>
              <w:pStyle w:val="0"/>
              <w:jc w:val="center"/>
            </w:pPr>
            <w:r>
              <w:rPr>
                <w:sz w:val="24"/>
              </w:rPr>
              <w:t xml:space="preserve">тыс. т</w:t>
            </w:r>
          </w:p>
          <w:p>
            <w:pPr>
              <w:pStyle w:val="0"/>
              <w:jc w:val="center"/>
            </w:pPr>
            <w:r>
              <w:rPr>
                <w:sz w:val="24"/>
              </w:rPr>
              <w:t xml:space="preserve">WO</w:t>
            </w:r>
            <w:r>
              <w:rPr>
                <w:sz w:val="24"/>
                <w:vertAlign w:val="subscript"/>
              </w:rPr>
              <w:t xml:space="preserve">3</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jc w:val="both"/>
            </w:pPr>
            <w:r>
              <w:rPr>
                <w:sz w:val="24"/>
              </w:rPr>
              <w:t xml:space="preserve">Висмут</w:t>
            </w:r>
          </w:p>
        </w:tc>
        <w:tc>
          <w:tcPr>
            <w:tcW w:w="1406" w:type="dxa"/>
          </w:tcPr>
          <w:p>
            <w:pPr>
              <w:pStyle w:val="0"/>
              <w:jc w:val="center"/>
            </w:pPr>
            <w:r>
              <w:rPr>
                <w:sz w:val="24"/>
              </w:rPr>
              <w:t xml:space="preserve">тыс. т</w:t>
            </w:r>
          </w:p>
        </w:tc>
        <w:tc>
          <w:tcPr>
            <w:tcW w:w="2005" w:type="dxa"/>
          </w:tcPr>
          <w:p>
            <w:pPr>
              <w:pStyle w:val="0"/>
              <w:jc w:val="center"/>
            </w:pPr>
            <w:r>
              <w:rPr>
                <w:sz w:val="24"/>
              </w:rPr>
              <w:t xml:space="preserve">5</w:t>
            </w:r>
          </w:p>
        </w:tc>
        <w:tc>
          <w:tcPr>
            <w:tcW w:w="2005" w:type="dxa"/>
          </w:tcPr>
          <w:p>
            <w:pPr>
              <w:pStyle w:val="0"/>
              <w:jc w:val="center"/>
            </w:pPr>
            <w:r>
              <w:rPr>
                <w:sz w:val="24"/>
              </w:rPr>
              <w:t xml:space="preserve">10</w:t>
            </w:r>
          </w:p>
        </w:tc>
      </w:tr>
      <w:tr>
        <w:tc>
          <w:tcPr>
            <w:tcW w:w="3624" w:type="dxa"/>
          </w:tcPr>
          <w:p>
            <w:pPr>
              <w:pStyle w:val="0"/>
              <w:jc w:val="both"/>
            </w:pPr>
            <w:r>
              <w:rPr>
                <w:sz w:val="24"/>
              </w:rPr>
              <w:t xml:space="preserve">Медь</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100</w:t>
            </w:r>
          </w:p>
        </w:tc>
        <w:tc>
          <w:tcPr>
            <w:tcW w:w="2005" w:type="dxa"/>
          </w:tcPr>
          <w:p>
            <w:pPr>
              <w:pStyle w:val="0"/>
              <w:jc w:val="center"/>
            </w:pPr>
            <w:r>
              <w:rPr>
                <w:sz w:val="24"/>
              </w:rPr>
              <w:t xml:space="preserve">200</w:t>
            </w:r>
          </w:p>
        </w:tc>
      </w:tr>
      <w:tr>
        <w:tc>
          <w:tcPr>
            <w:tcW w:w="3624" w:type="dxa"/>
          </w:tcPr>
          <w:p>
            <w:pPr>
              <w:pStyle w:val="0"/>
              <w:jc w:val="both"/>
            </w:pPr>
            <w:r>
              <w:rPr>
                <w:sz w:val="24"/>
              </w:rPr>
              <w:t xml:space="preserve">Молибден</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jc w:val="both"/>
            </w:pPr>
            <w:r>
              <w:rPr>
                <w:sz w:val="24"/>
              </w:rPr>
              <w:t xml:space="preserve">Олово</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jc w:val="both"/>
            </w:pPr>
            <w:r>
              <w:rPr>
                <w:sz w:val="24"/>
              </w:rPr>
              <w:t xml:space="preserve">Ртуть</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jc w:val="both"/>
            </w:pPr>
            <w:r>
              <w:rPr>
                <w:sz w:val="24"/>
              </w:rPr>
              <w:t xml:space="preserve">Свинец</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100</w:t>
            </w:r>
          </w:p>
        </w:tc>
        <w:tc>
          <w:tcPr>
            <w:tcW w:w="2005" w:type="dxa"/>
          </w:tcPr>
          <w:p>
            <w:pPr>
              <w:pStyle w:val="0"/>
              <w:jc w:val="center"/>
            </w:pPr>
            <w:r>
              <w:rPr>
                <w:sz w:val="24"/>
              </w:rPr>
              <w:t xml:space="preserve">200</w:t>
            </w:r>
          </w:p>
        </w:tc>
      </w:tr>
      <w:tr>
        <w:tc>
          <w:tcPr>
            <w:tcW w:w="3624" w:type="dxa"/>
          </w:tcPr>
          <w:p>
            <w:pPr>
              <w:pStyle w:val="0"/>
              <w:jc w:val="both"/>
            </w:pPr>
            <w:r>
              <w:rPr>
                <w:sz w:val="24"/>
              </w:rPr>
              <w:t xml:space="preserve">Стронций</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100</w:t>
            </w:r>
          </w:p>
        </w:tc>
        <w:tc>
          <w:tcPr>
            <w:tcW w:w="2005" w:type="dxa"/>
          </w:tcPr>
          <w:p>
            <w:pPr>
              <w:pStyle w:val="0"/>
              <w:jc w:val="center"/>
            </w:pPr>
            <w:r>
              <w:rPr>
                <w:sz w:val="24"/>
              </w:rPr>
              <w:t xml:space="preserve">200</w:t>
            </w:r>
          </w:p>
        </w:tc>
      </w:tr>
      <w:tr>
        <w:tc>
          <w:tcPr>
            <w:tcW w:w="3624" w:type="dxa"/>
          </w:tcPr>
          <w:p>
            <w:pPr>
              <w:pStyle w:val="0"/>
              <w:jc w:val="both"/>
            </w:pPr>
            <w:r>
              <w:rPr>
                <w:sz w:val="24"/>
              </w:rPr>
              <w:t xml:space="preserve">Сурьма</w:t>
            </w:r>
          </w:p>
        </w:tc>
        <w:tc>
          <w:tcPr>
            <w:tcW w:w="1406" w:type="dxa"/>
          </w:tcPr>
          <w:p>
            <w:pPr>
              <w:pStyle w:val="0"/>
              <w:jc w:val="center"/>
            </w:pPr>
            <w:r>
              <w:rPr>
                <w:sz w:val="24"/>
              </w:rPr>
              <w:t xml:space="preserve">тыс. т</w:t>
            </w:r>
          </w:p>
        </w:tc>
        <w:tc>
          <w:tcPr>
            <w:tcW w:w="2005" w:type="dxa"/>
          </w:tcPr>
          <w:p>
            <w:pPr>
              <w:pStyle w:val="0"/>
              <w:jc w:val="center"/>
            </w:pPr>
            <w:r>
              <w:rPr>
                <w:sz w:val="24"/>
              </w:rPr>
              <w:t xml:space="preserve">20</w:t>
            </w:r>
          </w:p>
        </w:tc>
        <w:tc>
          <w:tcPr>
            <w:tcW w:w="2005" w:type="dxa"/>
          </w:tcPr>
          <w:p>
            <w:pPr>
              <w:pStyle w:val="0"/>
              <w:jc w:val="center"/>
            </w:pPr>
            <w:r>
              <w:rPr>
                <w:sz w:val="24"/>
              </w:rPr>
              <w:t xml:space="preserve">40</w:t>
            </w:r>
          </w:p>
        </w:tc>
      </w:tr>
      <w:tr>
        <w:tc>
          <w:tcPr>
            <w:tcW w:w="3624" w:type="dxa"/>
          </w:tcPr>
          <w:p>
            <w:pPr>
              <w:pStyle w:val="0"/>
              <w:jc w:val="both"/>
            </w:pPr>
            <w:r>
              <w:rPr>
                <w:sz w:val="24"/>
              </w:rPr>
              <w:t xml:space="preserve">Титан коренной</w:t>
            </w:r>
          </w:p>
        </w:tc>
        <w:tc>
          <w:tcPr>
            <w:tcW w:w="1406" w:type="dxa"/>
          </w:tcPr>
          <w:p>
            <w:pPr>
              <w:pStyle w:val="0"/>
              <w:jc w:val="center"/>
            </w:pPr>
            <w:r>
              <w:rPr>
                <w:sz w:val="24"/>
              </w:rPr>
              <w:t xml:space="preserve">млн. т</w:t>
            </w:r>
          </w:p>
          <w:p>
            <w:pPr>
              <w:pStyle w:val="0"/>
              <w:jc w:val="center"/>
            </w:pPr>
            <w:r>
              <w:rPr>
                <w:sz w:val="24"/>
              </w:rPr>
              <w:t xml:space="preserve">TiO</w:t>
            </w:r>
            <w:r>
              <w:rPr>
                <w:sz w:val="24"/>
                <w:vertAlign w:val="subscript"/>
              </w:rPr>
              <w:t xml:space="preserve">2</w:t>
            </w:r>
          </w:p>
        </w:tc>
        <w:tc>
          <w:tcPr>
            <w:tcW w:w="2005" w:type="dxa"/>
          </w:tcPr>
          <w:p>
            <w:pPr>
              <w:pStyle w:val="0"/>
              <w:jc w:val="center"/>
            </w:pPr>
            <w:r>
              <w:rPr>
                <w:sz w:val="24"/>
              </w:rPr>
              <w:t xml:space="preserve">5</w:t>
            </w:r>
          </w:p>
        </w:tc>
        <w:tc>
          <w:tcPr>
            <w:tcW w:w="2005" w:type="dxa"/>
          </w:tcPr>
          <w:p>
            <w:pPr>
              <w:pStyle w:val="0"/>
              <w:jc w:val="center"/>
            </w:pPr>
            <w:r>
              <w:rPr>
                <w:sz w:val="24"/>
              </w:rPr>
              <w:t xml:space="preserve">10</w:t>
            </w:r>
          </w:p>
        </w:tc>
      </w:tr>
      <w:tr>
        <w:tc>
          <w:tcPr>
            <w:tcW w:w="3624" w:type="dxa"/>
          </w:tcPr>
          <w:p>
            <w:pPr>
              <w:pStyle w:val="0"/>
              <w:jc w:val="both"/>
            </w:pPr>
            <w:r>
              <w:rPr>
                <w:sz w:val="24"/>
              </w:rPr>
              <w:t xml:space="preserve">Титан россыпной</w:t>
            </w:r>
          </w:p>
        </w:tc>
        <w:tc>
          <w:tcPr>
            <w:tcW w:w="1406" w:type="dxa"/>
          </w:tcPr>
          <w:p>
            <w:pPr>
              <w:pStyle w:val="0"/>
              <w:jc w:val="center"/>
            </w:pPr>
            <w:r>
              <w:rPr>
                <w:sz w:val="24"/>
              </w:rPr>
              <w:t xml:space="preserve">млн. т</w:t>
            </w:r>
          </w:p>
          <w:p>
            <w:pPr>
              <w:pStyle w:val="0"/>
              <w:jc w:val="center"/>
            </w:pPr>
            <w:r>
              <w:rPr>
                <w:sz w:val="24"/>
              </w:rPr>
              <w:t xml:space="preserve">TiO</w:t>
            </w:r>
            <w:r>
              <w:rPr>
                <w:sz w:val="24"/>
                <w:vertAlign w:val="subscript"/>
              </w:rPr>
              <w:t xml:space="preserve">2</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jc w:val="both"/>
            </w:pPr>
            <w:r>
              <w:rPr>
                <w:sz w:val="24"/>
              </w:rPr>
              <w:t xml:space="preserve">Цезий (оксид)</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jc w:val="both"/>
            </w:pPr>
            <w:r>
              <w:rPr>
                <w:sz w:val="24"/>
              </w:rPr>
              <w:t xml:space="preserve">Цинк</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100</w:t>
            </w:r>
          </w:p>
        </w:tc>
        <w:tc>
          <w:tcPr>
            <w:tcW w:w="2005" w:type="dxa"/>
          </w:tcPr>
          <w:p>
            <w:pPr>
              <w:pStyle w:val="0"/>
              <w:jc w:val="center"/>
            </w:pPr>
            <w:r>
              <w:rPr>
                <w:sz w:val="24"/>
              </w:rPr>
              <w:t xml:space="preserve">200</w:t>
            </w:r>
          </w:p>
        </w:tc>
      </w:tr>
      <w:tr>
        <w:tc>
          <w:tcPr>
            <w:tcW w:w="3624" w:type="dxa"/>
          </w:tcPr>
          <w:p>
            <w:pPr>
              <w:pStyle w:val="0"/>
              <w:jc w:val="both"/>
            </w:pPr>
            <w:r>
              <w:rPr>
                <w:sz w:val="24"/>
              </w:rPr>
              <w:t xml:space="preserve">Цирконий</w:t>
            </w:r>
          </w:p>
        </w:tc>
        <w:tc>
          <w:tcPr>
            <w:tcW w:w="1406" w:type="dxa"/>
          </w:tcPr>
          <w:p>
            <w:pPr>
              <w:pStyle w:val="0"/>
              <w:jc w:val="center"/>
            </w:pPr>
            <w:r>
              <w:rPr>
                <w:sz w:val="24"/>
              </w:rPr>
              <w:t xml:space="preserve">млн. т</w:t>
            </w:r>
          </w:p>
          <w:p>
            <w:pPr>
              <w:pStyle w:val="0"/>
              <w:jc w:val="center"/>
            </w:pPr>
            <w:r>
              <w:rPr>
                <w:sz w:val="24"/>
              </w:rPr>
              <w:t xml:space="preserve">ZrO</w:t>
            </w:r>
            <w:r>
              <w:rPr>
                <w:sz w:val="24"/>
                <w:vertAlign w:val="subscript"/>
              </w:rPr>
              <w:t xml:space="preserve">2</w:t>
            </w:r>
          </w:p>
        </w:tc>
        <w:tc>
          <w:tcPr>
            <w:tcW w:w="2005" w:type="dxa"/>
          </w:tcPr>
          <w:p>
            <w:pPr>
              <w:pStyle w:val="0"/>
              <w:jc w:val="center"/>
            </w:pPr>
            <w:r>
              <w:rPr>
                <w:sz w:val="24"/>
              </w:rPr>
              <w:t xml:space="preserve">0,5</w:t>
            </w:r>
          </w:p>
        </w:tc>
        <w:tc>
          <w:tcPr>
            <w:tcW w:w="2005" w:type="dxa"/>
          </w:tcPr>
          <w:p>
            <w:pPr>
              <w:pStyle w:val="0"/>
              <w:jc w:val="center"/>
            </w:pPr>
            <w:r>
              <w:rPr>
                <w:sz w:val="24"/>
              </w:rPr>
              <w:t xml:space="preserve">1</w:t>
            </w:r>
          </w:p>
        </w:tc>
      </w:tr>
      <w:tr>
        <w:tc>
          <w:tcPr>
            <w:gridSpan w:val="3"/>
            <w:tcW w:w="7035" w:type="dxa"/>
          </w:tcPr>
          <w:p>
            <w:pPr>
              <w:pStyle w:val="0"/>
              <w:outlineLvl w:val="2"/>
            </w:pPr>
            <w:r>
              <w:rPr>
                <w:sz w:val="24"/>
              </w:rPr>
              <w:t xml:space="preserve">V. Благородные металлы</w:t>
            </w:r>
          </w:p>
        </w:tc>
        <w:tc>
          <w:tcPr>
            <w:tcW w:w="2005" w:type="dxa"/>
          </w:tcPr>
          <w:p>
            <w:pPr>
              <w:pStyle w:val="0"/>
            </w:pPr>
            <w:r>
              <w:rPr>
                <w:sz w:val="24"/>
              </w:rPr>
            </w:r>
          </w:p>
        </w:tc>
      </w:tr>
      <w:tr>
        <w:tc>
          <w:tcPr>
            <w:tcW w:w="3624" w:type="dxa"/>
          </w:tcPr>
          <w:p>
            <w:pPr>
              <w:pStyle w:val="0"/>
            </w:pPr>
            <w:r>
              <w:rPr>
                <w:sz w:val="24"/>
              </w:rPr>
              <w:t xml:space="preserve">Золото коренное</w:t>
            </w:r>
          </w:p>
        </w:tc>
        <w:tc>
          <w:tcPr>
            <w:tcW w:w="1406" w:type="dxa"/>
          </w:tcPr>
          <w:p>
            <w:pPr>
              <w:pStyle w:val="0"/>
              <w:jc w:val="center"/>
            </w:pPr>
            <w:r>
              <w:rPr>
                <w:sz w:val="24"/>
              </w:rPr>
              <w:t xml:space="preserve">т</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pPr>
            <w:r>
              <w:rPr>
                <w:sz w:val="24"/>
              </w:rPr>
              <w:t xml:space="preserve">Золото россыпное</w:t>
            </w:r>
          </w:p>
        </w:tc>
        <w:tc>
          <w:tcPr>
            <w:tcW w:w="1406" w:type="dxa"/>
          </w:tcPr>
          <w:p>
            <w:pPr>
              <w:pStyle w:val="0"/>
              <w:jc w:val="center"/>
            </w:pPr>
            <w:r>
              <w:rPr>
                <w:sz w:val="24"/>
              </w:rPr>
              <w:t xml:space="preserve">т</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pPr>
            <w:r>
              <w:rPr>
                <w:sz w:val="24"/>
              </w:rPr>
              <w:t xml:space="preserve">Серебро</w:t>
            </w:r>
          </w:p>
        </w:tc>
        <w:tc>
          <w:tcPr>
            <w:tcW w:w="1406" w:type="dxa"/>
          </w:tcPr>
          <w:p>
            <w:pPr>
              <w:pStyle w:val="0"/>
              <w:jc w:val="center"/>
            </w:pPr>
            <w:r>
              <w:rPr>
                <w:sz w:val="24"/>
              </w:rPr>
              <w:t xml:space="preserve">т</w:t>
            </w:r>
          </w:p>
        </w:tc>
        <w:tc>
          <w:tcPr>
            <w:tcW w:w="2005" w:type="dxa"/>
          </w:tcPr>
          <w:p>
            <w:pPr>
              <w:pStyle w:val="0"/>
              <w:jc w:val="center"/>
            </w:pPr>
            <w:r>
              <w:rPr>
                <w:sz w:val="24"/>
              </w:rPr>
              <w:t xml:space="preserve">1000</w:t>
            </w:r>
          </w:p>
        </w:tc>
        <w:tc>
          <w:tcPr>
            <w:tcW w:w="2005" w:type="dxa"/>
          </w:tcPr>
          <w:p>
            <w:pPr>
              <w:pStyle w:val="0"/>
              <w:jc w:val="center"/>
            </w:pPr>
            <w:r>
              <w:rPr>
                <w:sz w:val="24"/>
              </w:rPr>
              <w:t xml:space="preserve">2000</w:t>
            </w:r>
          </w:p>
        </w:tc>
      </w:tr>
      <w:tr>
        <w:tc>
          <w:tcPr>
            <w:gridSpan w:val="4"/>
            <w:tcW w:w="9040" w:type="dxa"/>
          </w:tcPr>
          <w:p>
            <w:pPr>
              <w:pStyle w:val="0"/>
              <w:outlineLvl w:val="2"/>
              <w:jc w:val="both"/>
            </w:pPr>
            <w:r>
              <w:rPr>
                <w:sz w:val="24"/>
              </w:rPr>
              <w:t xml:space="preserve">VI. Промышленные воды - гидроминеральное сырье, обеспечивающие производство:</w:t>
            </w:r>
          </w:p>
        </w:tc>
      </w:tr>
      <w:tr>
        <w:tc>
          <w:tcPr>
            <w:tcW w:w="3624" w:type="dxa"/>
          </w:tcPr>
          <w:p>
            <w:pPr>
              <w:pStyle w:val="0"/>
            </w:pPr>
            <w:r>
              <w:rPr>
                <w:sz w:val="24"/>
              </w:rPr>
              <w:t xml:space="preserve">Йод</w:t>
            </w:r>
          </w:p>
        </w:tc>
        <w:tc>
          <w:tcPr>
            <w:tcW w:w="1406" w:type="dxa"/>
          </w:tcPr>
          <w:p>
            <w:pPr>
              <w:pStyle w:val="0"/>
              <w:jc w:val="center"/>
            </w:pPr>
            <w:r>
              <w:rPr>
                <w:sz w:val="24"/>
              </w:rPr>
              <w:t xml:space="preserve">т/год</w:t>
            </w:r>
          </w:p>
        </w:tc>
        <w:tc>
          <w:tcPr>
            <w:tcW w:w="2005" w:type="dxa"/>
          </w:tcPr>
          <w:p>
            <w:pPr>
              <w:pStyle w:val="0"/>
              <w:jc w:val="center"/>
            </w:pPr>
            <w:r>
              <w:rPr>
                <w:sz w:val="24"/>
              </w:rPr>
              <w:t xml:space="preserve">100</w:t>
            </w:r>
          </w:p>
        </w:tc>
        <w:tc>
          <w:tcPr>
            <w:tcW w:w="2005" w:type="dxa"/>
          </w:tcPr>
          <w:p>
            <w:pPr>
              <w:pStyle w:val="0"/>
              <w:jc w:val="center"/>
            </w:pPr>
            <w:r>
              <w:rPr>
                <w:sz w:val="24"/>
              </w:rPr>
              <w:t xml:space="preserve">500</w:t>
            </w:r>
          </w:p>
        </w:tc>
      </w:tr>
      <w:tr>
        <w:tc>
          <w:tcPr>
            <w:tcW w:w="3624" w:type="dxa"/>
          </w:tcPr>
          <w:p>
            <w:pPr>
              <w:pStyle w:val="0"/>
            </w:pPr>
            <w:r>
              <w:rPr>
                <w:sz w:val="24"/>
              </w:rPr>
              <w:t xml:space="preserve">Бром</w:t>
            </w:r>
          </w:p>
        </w:tc>
        <w:tc>
          <w:tcPr>
            <w:tcW w:w="1406" w:type="dxa"/>
          </w:tcPr>
          <w:p>
            <w:pPr>
              <w:pStyle w:val="0"/>
              <w:jc w:val="center"/>
            </w:pPr>
            <w:r>
              <w:rPr>
                <w:sz w:val="24"/>
              </w:rPr>
              <w:t xml:space="preserve">т/год</w:t>
            </w:r>
          </w:p>
        </w:tc>
        <w:tc>
          <w:tcPr>
            <w:tcW w:w="2005" w:type="dxa"/>
          </w:tcPr>
          <w:p>
            <w:pPr>
              <w:pStyle w:val="0"/>
              <w:jc w:val="center"/>
            </w:pPr>
            <w:r>
              <w:rPr>
                <w:sz w:val="24"/>
              </w:rPr>
              <w:t xml:space="preserve">1000</w:t>
            </w:r>
          </w:p>
        </w:tc>
        <w:tc>
          <w:tcPr>
            <w:tcW w:w="2005" w:type="dxa"/>
          </w:tcPr>
          <w:p>
            <w:pPr>
              <w:pStyle w:val="0"/>
              <w:jc w:val="center"/>
            </w:pPr>
            <w:r>
              <w:rPr>
                <w:sz w:val="24"/>
              </w:rPr>
              <w:t xml:space="preserve">2000</w:t>
            </w:r>
          </w:p>
        </w:tc>
      </w:tr>
      <w:tr>
        <w:tc>
          <w:tcPr>
            <w:gridSpan w:val="4"/>
            <w:tcW w:w="9040" w:type="dxa"/>
          </w:tcPr>
          <w:p>
            <w:pPr>
              <w:pStyle w:val="0"/>
              <w:outlineLvl w:val="2"/>
            </w:pPr>
            <w:r>
              <w:rPr>
                <w:sz w:val="24"/>
              </w:rPr>
              <w:t xml:space="preserve">VII. Горно-химическое сырье без ограничений, кроме</w:t>
            </w:r>
          </w:p>
        </w:tc>
      </w:tr>
      <w:tr>
        <w:tc>
          <w:tcPr>
            <w:tcW w:w="3624" w:type="dxa"/>
          </w:tcPr>
          <w:p>
            <w:pPr>
              <w:pStyle w:val="0"/>
            </w:pPr>
            <w:r>
              <w:rPr>
                <w:sz w:val="24"/>
              </w:rPr>
              <w:t xml:space="preserve">Апатиты и фосфориты</w:t>
            </w:r>
          </w:p>
        </w:tc>
        <w:tc>
          <w:tcPr>
            <w:tcW w:w="1406" w:type="dxa"/>
          </w:tcPr>
          <w:p>
            <w:pPr>
              <w:pStyle w:val="0"/>
              <w:jc w:val="center"/>
            </w:pPr>
            <w:r>
              <w:rPr>
                <w:sz w:val="24"/>
              </w:rPr>
              <w:t xml:space="preserve">млн. т</w:t>
            </w:r>
          </w:p>
          <w:p>
            <w:pPr>
              <w:pStyle w:val="0"/>
              <w:jc w:val="center"/>
            </w:pPr>
            <w:r>
              <w:rPr>
                <w:sz w:val="24"/>
              </w:rPr>
              <w:t xml:space="preserve">P</w:t>
            </w:r>
            <w:r>
              <w:rPr>
                <w:sz w:val="24"/>
                <w:vertAlign w:val="subscript"/>
              </w:rPr>
              <w:t xml:space="preserve">2</w:t>
            </w:r>
            <w:r>
              <w:rPr>
                <w:sz w:val="24"/>
              </w:rPr>
              <w:t xml:space="preserve">O</w:t>
            </w:r>
            <w:r>
              <w:rPr>
                <w:sz w:val="24"/>
                <w:vertAlign w:val="subscript"/>
              </w:rPr>
              <w:t xml:space="preserve">5</w:t>
            </w:r>
          </w:p>
        </w:tc>
        <w:tc>
          <w:tcPr>
            <w:tcW w:w="2005" w:type="dxa"/>
          </w:tcPr>
          <w:p>
            <w:pPr>
              <w:pStyle w:val="0"/>
              <w:jc w:val="center"/>
            </w:pPr>
            <w:r>
              <w:rPr>
                <w:sz w:val="24"/>
              </w:rPr>
              <w:t xml:space="preserve">20</w:t>
            </w:r>
          </w:p>
        </w:tc>
        <w:tc>
          <w:tcPr>
            <w:tcW w:w="2005" w:type="dxa"/>
          </w:tcPr>
          <w:p>
            <w:pPr>
              <w:pStyle w:val="0"/>
              <w:jc w:val="center"/>
            </w:pPr>
            <w:r>
              <w:rPr>
                <w:sz w:val="24"/>
              </w:rPr>
              <w:t xml:space="preserve">40</w:t>
            </w:r>
          </w:p>
        </w:tc>
      </w:tr>
      <w:tr>
        <w:tc>
          <w:tcPr>
            <w:tcW w:w="3624" w:type="dxa"/>
          </w:tcPr>
          <w:p>
            <w:pPr>
              <w:pStyle w:val="0"/>
            </w:pPr>
            <w:r>
              <w:rPr>
                <w:sz w:val="24"/>
              </w:rPr>
              <w:t xml:space="preserve">Борные руды</w:t>
            </w:r>
          </w:p>
        </w:tc>
        <w:tc>
          <w:tcPr>
            <w:tcW w:w="1406" w:type="dxa"/>
          </w:tcPr>
          <w:p>
            <w:pPr>
              <w:pStyle w:val="0"/>
            </w:pPr>
            <w:r>
              <w:rPr>
                <w:sz w:val="24"/>
              </w:rPr>
              <w:t xml:space="preserve">млн. т BO</w:t>
            </w:r>
            <w:r>
              <w:rPr>
                <w:sz w:val="24"/>
                <w:vertAlign w:val="subscript"/>
              </w:rPr>
              <w:t xml:space="preserve">3</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pPr>
            <w:r>
              <w:rPr>
                <w:sz w:val="24"/>
              </w:rPr>
              <w:t xml:space="preserve">Калийные соли</w:t>
            </w:r>
          </w:p>
        </w:tc>
        <w:tc>
          <w:tcPr>
            <w:tcW w:w="1406" w:type="dxa"/>
          </w:tcPr>
          <w:p>
            <w:pPr>
              <w:pStyle w:val="0"/>
              <w:jc w:val="center"/>
            </w:pPr>
            <w:r>
              <w:rPr>
                <w:sz w:val="24"/>
              </w:rPr>
              <w:t xml:space="preserve">млн. т</w:t>
            </w:r>
          </w:p>
        </w:tc>
        <w:tc>
          <w:tcPr>
            <w:tcW w:w="2005" w:type="dxa"/>
          </w:tcPr>
          <w:p>
            <w:pPr>
              <w:pStyle w:val="0"/>
              <w:jc w:val="center"/>
            </w:pPr>
            <w:r>
              <w:rPr>
                <w:sz w:val="24"/>
              </w:rPr>
              <w:t xml:space="preserve">200</w:t>
            </w:r>
          </w:p>
        </w:tc>
        <w:tc>
          <w:tcPr>
            <w:tcW w:w="2005" w:type="dxa"/>
          </w:tcPr>
          <w:p>
            <w:pPr>
              <w:pStyle w:val="0"/>
              <w:jc w:val="center"/>
            </w:pPr>
            <w:r>
              <w:rPr>
                <w:sz w:val="24"/>
              </w:rPr>
              <w:t xml:space="preserve">400</w:t>
            </w:r>
          </w:p>
        </w:tc>
      </w:tr>
      <w:tr>
        <w:tc>
          <w:tcPr>
            <w:tcW w:w="3624" w:type="dxa"/>
          </w:tcPr>
          <w:p>
            <w:pPr>
              <w:pStyle w:val="0"/>
            </w:pPr>
            <w:r>
              <w:rPr>
                <w:sz w:val="24"/>
              </w:rPr>
              <w:t xml:space="preserve">Сера самородная</w:t>
            </w:r>
          </w:p>
        </w:tc>
        <w:tc>
          <w:tcPr>
            <w:tcW w:w="1406" w:type="dxa"/>
          </w:tcPr>
          <w:p>
            <w:pPr>
              <w:pStyle w:val="0"/>
              <w:jc w:val="center"/>
            </w:pPr>
            <w:r>
              <w:rPr>
                <w:sz w:val="24"/>
              </w:rPr>
              <w:t xml:space="preserve">млн. т</w:t>
            </w:r>
          </w:p>
        </w:tc>
        <w:tc>
          <w:tcPr>
            <w:tcW w:w="2005" w:type="dxa"/>
          </w:tcPr>
          <w:p>
            <w:pPr>
              <w:pStyle w:val="0"/>
              <w:jc w:val="center"/>
            </w:pPr>
            <w:r>
              <w:rPr>
                <w:sz w:val="24"/>
              </w:rPr>
              <w:t xml:space="preserve">5</w:t>
            </w:r>
          </w:p>
        </w:tc>
        <w:tc>
          <w:tcPr>
            <w:tcW w:w="2005" w:type="dxa"/>
          </w:tcPr>
          <w:p>
            <w:pPr>
              <w:pStyle w:val="0"/>
              <w:jc w:val="center"/>
            </w:pPr>
            <w:r>
              <w:rPr>
                <w:sz w:val="24"/>
              </w:rPr>
              <w:t xml:space="preserve">10</w:t>
            </w:r>
          </w:p>
        </w:tc>
      </w:tr>
      <w:tr>
        <w:tc>
          <w:tcPr>
            <w:tcW w:w="3624" w:type="dxa"/>
          </w:tcPr>
          <w:p>
            <w:pPr>
              <w:pStyle w:val="0"/>
            </w:pPr>
            <w:r>
              <w:rPr>
                <w:sz w:val="24"/>
              </w:rPr>
              <w:t xml:space="preserve">Сода природная</w:t>
            </w:r>
          </w:p>
        </w:tc>
        <w:tc>
          <w:tcPr>
            <w:tcW w:w="1406" w:type="dxa"/>
          </w:tcPr>
          <w:p>
            <w:pPr>
              <w:pStyle w:val="0"/>
              <w:jc w:val="center"/>
            </w:pPr>
            <w:r>
              <w:rPr>
                <w:sz w:val="24"/>
              </w:rPr>
              <w:t xml:space="preserve">млн. т</w:t>
            </w:r>
          </w:p>
        </w:tc>
        <w:tc>
          <w:tcPr>
            <w:tcW w:w="2005" w:type="dxa"/>
          </w:tcPr>
          <w:p>
            <w:pPr>
              <w:pStyle w:val="0"/>
              <w:jc w:val="center"/>
            </w:pPr>
            <w:r>
              <w:rPr>
                <w:sz w:val="24"/>
              </w:rPr>
              <w:t xml:space="preserve">5</w:t>
            </w:r>
          </w:p>
        </w:tc>
        <w:tc>
          <w:tcPr>
            <w:tcW w:w="2005" w:type="dxa"/>
          </w:tcPr>
          <w:p>
            <w:pPr>
              <w:pStyle w:val="0"/>
              <w:jc w:val="center"/>
            </w:pPr>
            <w:r>
              <w:rPr>
                <w:sz w:val="24"/>
              </w:rPr>
              <w:t xml:space="preserve">10</w:t>
            </w:r>
          </w:p>
        </w:tc>
      </w:tr>
      <w:tr>
        <w:tc>
          <w:tcPr>
            <w:tcW w:w="3624" w:type="dxa"/>
          </w:tcPr>
          <w:p>
            <w:pPr>
              <w:pStyle w:val="0"/>
            </w:pPr>
            <w:r>
              <w:rPr>
                <w:sz w:val="24"/>
              </w:rPr>
              <w:t xml:space="preserve">Соли поваренные</w:t>
            </w:r>
          </w:p>
        </w:tc>
        <w:tc>
          <w:tcPr>
            <w:tcW w:w="1406" w:type="dxa"/>
          </w:tcPr>
          <w:p>
            <w:pPr>
              <w:pStyle w:val="0"/>
              <w:jc w:val="center"/>
            </w:pPr>
            <w:r>
              <w:rPr>
                <w:sz w:val="24"/>
              </w:rPr>
              <w:t xml:space="preserve">млн. т</w:t>
            </w:r>
          </w:p>
        </w:tc>
        <w:tc>
          <w:tcPr>
            <w:tcW w:w="2005" w:type="dxa"/>
          </w:tcPr>
          <w:p>
            <w:pPr>
              <w:pStyle w:val="0"/>
              <w:jc w:val="center"/>
            </w:pPr>
            <w:r>
              <w:rPr>
                <w:sz w:val="24"/>
              </w:rPr>
              <w:t xml:space="preserve">200</w:t>
            </w:r>
          </w:p>
        </w:tc>
        <w:tc>
          <w:tcPr>
            <w:tcW w:w="2005" w:type="dxa"/>
          </w:tcPr>
          <w:p>
            <w:pPr>
              <w:pStyle w:val="0"/>
              <w:jc w:val="center"/>
            </w:pPr>
            <w:r>
              <w:rPr>
                <w:sz w:val="24"/>
              </w:rPr>
              <w:t xml:space="preserve">400</w:t>
            </w:r>
          </w:p>
        </w:tc>
      </w:tr>
      <w:tr>
        <w:tc>
          <w:tcPr>
            <w:tcW w:w="3624" w:type="dxa"/>
          </w:tcPr>
          <w:p>
            <w:pPr>
              <w:pStyle w:val="0"/>
            </w:pPr>
            <w:r>
              <w:rPr>
                <w:sz w:val="24"/>
              </w:rPr>
              <w:t xml:space="preserve">Магниевые соли (бишофит)</w:t>
            </w:r>
          </w:p>
        </w:tc>
        <w:tc>
          <w:tcPr>
            <w:tcW w:w="1406" w:type="dxa"/>
          </w:tcPr>
          <w:p>
            <w:pPr>
              <w:pStyle w:val="0"/>
              <w:jc w:val="center"/>
            </w:pPr>
            <w:r>
              <w:rPr>
                <w:sz w:val="24"/>
              </w:rPr>
              <w:t xml:space="preserve">млн. т</w:t>
            </w:r>
          </w:p>
        </w:tc>
        <w:tc>
          <w:tcPr>
            <w:tcW w:w="2005" w:type="dxa"/>
          </w:tcPr>
          <w:p>
            <w:pPr>
              <w:pStyle w:val="0"/>
              <w:jc w:val="center"/>
            </w:pPr>
            <w:r>
              <w:rPr>
                <w:sz w:val="24"/>
              </w:rPr>
              <w:t xml:space="preserve">20</w:t>
            </w:r>
          </w:p>
        </w:tc>
        <w:tc>
          <w:tcPr>
            <w:tcW w:w="2005" w:type="dxa"/>
          </w:tcPr>
          <w:p>
            <w:pPr>
              <w:pStyle w:val="0"/>
              <w:jc w:val="center"/>
            </w:pPr>
            <w:r>
              <w:rPr>
                <w:sz w:val="24"/>
              </w:rPr>
              <w:t xml:space="preserve">40</w:t>
            </w:r>
          </w:p>
        </w:tc>
      </w:tr>
      <w:tr>
        <w:tc>
          <w:tcPr>
            <w:tcW w:w="3624" w:type="dxa"/>
          </w:tcPr>
          <w:p>
            <w:pPr>
              <w:pStyle w:val="0"/>
            </w:pPr>
            <w:r>
              <w:rPr>
                <w:sz w:val="24"/>
              </w:rPr>
              <w:t xml:space="preserve">Сульфат натрия</w:t>
            </w:r>
          </w:p>
        </w:tc>
        <w:tc>
          <w:tcPr>
            <w:tcW w:w="1406" w:type="dxa"/>
          </w:tcPr>
          <w:p>
            <w:pPr>
              <w:pStyle w:val="0"/>
              <w:jc w:val="center"/>
            </w:pPr>
            <w:r>
              <w:rPr>
                <w:sz w:val="24"/>
              </w:rPr>
              <w:t xml:space="preserve">млн. т</w:t>
            </w:r>
          </w:p>
        </w:tc>
        <w:tc>
          <w:tcPr>
            <w:tcW w:w="2005" w:type="dxa"/>
          </w:tcPr>
          <w:p>
            <w:pPr>
              <w:pStyle w:val="0"/>
              <w:jc w:val="center"/>
            </w:pPr>
            <w:r>
              <w:rPr>
                <w:sz w:val="24"/>
              </w:rPr>
              <w:t xml:space="preserve">5</w:t>
            </w:r>
          </w:p>
        </w:tc>
        <w:tc>
          <w:tcPr>
            <w:tcW w:w="2005" w:type="dxa"/>
          </w:tcPr>
          <w:p>
            <w:pPr>
              <w:pStyle w:val="0"/>
              <w:jc w:val="center"/>
            </w:pPr>
            <w:r>
              <w:rPr>
                <w:sz w:val="24"/>
              </w:rPr>
              <w:t xml:space="preserve">10</w:t>
            </w:r>
          </w:p>
        </w:tc>
      </w:tr>
      <w:tr>
        <w:tc>
          <w:tcPr>
            <w:gridSpan w:val="4"/>
            <w:tcW w:w="9040" w:type="dxa"/>
          </w:tcPr>
          <w:p>
            <w:pPr>
              <w:pStyle w:val="0"/>
              <w:outlineLvl w:val="2"/>
            </w:pPr>
            <w:r>
              <w:rPr>
                <w:sz w:val="24"/>
              </w:rPr>
              <w:t xml:space="preserve">VIII. Горнорудное сырье и нерудное сырье без ограничений, кроме</w:t>
            </w:r>
          </w:p>
        </w:tc>
      </w:tr>
      <w:tr>
        <w:tc>
          <w:tcPr>
            <w:tcW w:w="3624" w:type="dxa"/>
          </w:tcPr>
          <w:p>
            <w:pPr>
              <w:pStyle w:val="0"/>
            </w:pPr>
            <w:r>
              <w:rPr>
                <w:sz w:val="24"/>
              </w:rPr>
              <w:t xml:space="preserve">Асбест хризотиловый</w:t>
            </w:r>
          </w:p>
        </w:tc>
        <w:tc>
          <w:tcPr>
            <w:tcW w:w="1406" w:type="dxa"/>
          </w:tcPr>
          <w:p>
            <w:pPr>
              <w:pStyle w:val="0"/>
              <w:jc w:val="center"/>
            </w:pPr>
            <w:r>
              <w:rPr>
                <w:sz w:val="24"/>
              </w:rPr>
              <w:t xml:space="preserve">млн. т</w:t>
            </w:r>
          </w:p>
        </w:tc>
        <w:tc>
          <w:tcPr>
            <w:tcW w:w="2005" w:type="dxa"/>
          </w:tcPr>
          <w:p>
            <w:pPr>
              <w:pStyle w:val="0"/>
              <w:jc w:val="center"/>
            </w:pPr>
            <w:r>
              <w:rPr>
                <w:sz w:val="24"/>
              </w:rPr>
              <w:t xml:space="preserve">5</w:t>
            </w:r>
          </w:p>
        </w:tc>
        <w:tc>
          <w:tcPr>
            <w:tcW w:w="2005" w:type="dxa"/>
          </w:tcPr>
          <w:p>
            <w:pPr>
              <w:pStyle w:val="0"/>
              <w:jc w:val="center"/>
            </w:pPr>
            <w:r>
              <w:rPr>
                <w:sz w:val="24"/>
              </w:rPr>
              <w:t xml:space="preserve">10</w:t>
            </w:r>
          </w:p>
        </w:tc>
      </w:tr>
      <w:tr>
        <w:tc>
          <w:tcPr>
            <w:tcW w:w="3624" w:type="dxa"/>
          </w:tcPr>
          <w:p>
            <w:pPr>
              <w:pStyle w:val="0"/>
            </w:pPr>
            <w:r>
              <w:rPr>
                <w:sz w:val="24"/>
              </w:rPr>
              <w:t xml:space="preserve">Асбест антофиллитовый</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pPr>
            <w:r>
              <w:rPr>
                <w:sz w:val="24"/>
              </w:rPr>
              <w:t xml:space="preserve">Асбест амфиболитовый</w:t>
            </w:r>
          </w:p>
        </w:tc>
        <w:tc>
          <w:tcPr>
            <w:tcW w:w="1406" w:type="dxa"/>
          </w:tcPr>
          <w:p>
            <w:pPr>
              <w:pStyle w:val="0"/>
              <w:jc w:val="center"/>
            </w:pPr>
            <w:r>
              <w:rPr>
                <w:sz w:val="24"/>
              </w:rPr>
              <w:t xml:space="preserve">тыс. т</w:t>
            </w:r>
          </w:p>
        </w:tc>
        <w:tc>
          <w:tcPr>
            <w:tcW w:w="2005" w:type="dxa"/>
          </w:tcPr>
          <w:p>
            <w:pPr>
              <w:pStyle w:val="0"/>
              <w:jc w:val="center"/>
            </w:pPr>
            <w:r>
              <w:rPr>
                <w:sz w:val="24"/>
              </w:rPr>
              <w:t xml:space="preserve">2</w:t>
            </w:r>
          </w:p>
        </w:tc>
        <w:tc>
          <w:tcPr>
            <w:tcW w:w="2005" w:type="dxa"/>
          </w:tcPr>
          <w:p>
            <w:pPr>
              <w:pStyle w:val="0"/>
              <w:jc w:val="center"/>
            </w:pPr>
            <w:r>
              <w:rPr>
                <w:sz w:val="24"/>
              </w:rPr>
              <w:t xml:space="preserve">4</w:t>
            </w:r>
          </w:p>
        </w:tc>
      </w:tr>
      <w:tr>
        <w:tc>
          <w:tcPr>
            <w:tcW w:w="3624" w:type="dxa"/>
          </w:tcPr>
          <w:p>
            <w:pPr>
              <w:pStyle w:val="0"/>
            </w:pPr>
            <w:r>
              <w:rPr>
                <w:sz w:val="24"/>
              </w:rPr>
              <w:t xml:space="preserve">Барит</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pPr>
            <w:r>
              <w:rPr>
                <w:sz w:val="24"/>
              </w:rPr>
              <w:t xml:space="preserve">Брусит</w:t>
            </w:r>
          </w:p>
        </w:tc>
        <w:tc>
          <w:tcPr>
            <w:tcW w:w="1406" w:type="dxa"/>
          </w:tcPr>
          <w:p>
            <w:pPr>
              <w:pStyle w:val="0"/>
              <w:jc w:val="center"/>
            </w:pPr>
            <w:r>
              <w:rPr>
                <w:sz w:val="24"/>
              </w:rPr>
              <w:t xml:space="preserve">млн. т</w:t>
            </w:r>
          </w:p>
        </w:tc>
        <w:tc>
          <w:tcPr>
            <w:tcW w:w="2005" w:type="dxa"/>
          </w:tcPr>
          <w:p>
            <w:pPr>
              <w:pStyle w:val="0"/>
              <w:jc w:val="center"/>
            </w:pPr>
            <w:r>
              <w:rPr>
                <w:sz w:val="24"/>
              </w:rPr>
              <w:t xml:space="preserve">2</w:t>
            </w:r>
          </w:p>
        </w:tc>
        <w:tc>
          <w:tcPr>
            <w:tcW w:w="2005" w:type="dxa"/>
          </w:tcPr>
          <w:p>
            <w:pPr>
              <w:pStyle w:val="0"/>
              <w:jc w:val="center"/>
            </w:pPr>
            <w:r>
              <w:rPr>
                <w:sz w:val="24"/>
              </w:rPr>
              <w:t xml:space="preserve">4</w:t>
            </w:r>
          </w:p>
        </w:tc>
      </w:tr>
      <w:tr>
        <w:tc>
          <w:tcPr>
            <w:tcW w:w="3624" w:type="dxa"/>
          </w:tcPr>
          <w:p>
            <w:pPr>
              <w:pStyle w:val="0"/>
            </w:pPr>
            <w:r>
              <w:rPr>
                <w:sz w:val="24"/>
              </w:rPr>
              <w:t xml:space="preserve">Волластонит</w:t>
            </w:r>
          </w:p>
        </w:tc>
        <w:tc>
          <w:tcPr>
            <w:tcW w:w="1406" w:type="dxa"/>
          </w:tcPr>
          <w:p>
            <w:pPr>
              <w:pStyle w:val="0"/>
              <w:jc w:val="center"/>
            </w:pPr>
            <w:r>
              <w:rPr>
                <w:sz w:val="24"/>
              </w:rPr>
              <w:t xml:space="preserve">млн. м</w:t>
            </w:r>
            <w:r>
              <w:rPr>
                <w:sz w:val="24"/>
                <w:vertAlign w:val="superscript"/>
              </w:rPr>
              <w:t xml:space="preserve">3</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pPr>
            <w:r>
              <w:rPr>
                <w:sz w:val="24"/>
              </w:rPr>
              <w:t xml:space="preserve">Графит</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pPr>
            <w:r>
              <w:rPr>
                <w:sz w:val="24"/>
              </w:rPr>
              <w:t xml:space="preserve">Тальк, тальковый камень</w:t>
            </w:r>
          </w:p>
        </w:tc>
        <w:tc>
          <w:tcPr>
            <w:tcW w:w="1406" w:type="dxa"/>
          </w:tcPr>
          <w:p>
            <w:pPr>
              <w:pStyle w:val="0"/>
              <w:jc w:val="center"/>
            </w:pPr>
            <w:r>
              <w:rPr>
                <w:sz w:val="24"/>
              </w:rPr>
              <w:t xml:space="preserve">млн. т</w:t>
            </w:r>
          </w:p>
        </w:tc>
        <w:tc>
          <w:tcPr>
            <w:tcW w:w="2005" w:type="dxa"/>
          </w:tcPr>
          <w:p>
            <w:pPr>
              <w:pStyle w:val="0"/>
              <w:jc w:val="center"/>
            </w:pPr>
            <w:r>
              <w:rPr>
                <w:sz w:val="24"/>
              </w:rPr>
              <w:t xml:space="preserve">2</w:t>
            </w:r>
          </w:p>
        </w:tc>
        <w:tc>
          <w:tcPr>
            <w:tcW w:w="2005" w:type="dxa"/>
          </w:tcPr>
          <w:p>
            <w:pPr>
              <w:pStyle w:val="0"/>
              <w:jc w:val="center"/>
            </w:pPr>
            <w:r>
              <w:rPr>
                <w:sz w:val="24"/>
              </w:rPr>
              <w:t xml:space="preserve">4</w:t>
            </w:r>
          </w:p>
        </w:tc>
      </w:tr>
      <w:tr>
        <w:tc>
          <w:tcPr>
            <w:tcW w:w="3624" w:type="dxa"/>
          </w:tcPr>
          <w:p>
            <w:pPr>
              <w:pStyle w:val="0"/>
              <w:jc w:val="both"/>
            </w:pPr>
            <w:r>
              <w:rPr>
                <w:sz w:val="24"/>
              </w:rPr>
              <w:t xml:space="preserve">Каолины</w:t>
            </w:r>
          </w:p>
        </w:tc>
        <w:tc>
          <w:tcPr>
            <w:tcW w:w="1406" w:type="dxa"/>
          </w:tcPr>
          <w:p>
            <w:pPr>
              <w:pStyle w:val="0"/>
              <w:jc w:val="center"/>
            </w:pPr>
            <w:r>
              <w:rPr>
                <w:sz w:val="24"/>
              </w:rPr>
              <w:t xml:space="preserve">млн. т</w:t>
            </w:r>
          </w:p>
        </w:tc>
        <w:tc>
          <w:tcPr>
            <w:tcW w:w="2005" w:type="dxa"/>
          </w:tcPr>
          <w:p>
            <w:pPr>
              <w:pStyle w:val="0"/>
              <w:jc w:val="center"/>
            </w:pPr>
            <w:r>
              <w:rPr>
                <w:sz w:val="24"/>
              </w:rPr>
              <w:t xml:space="preserve">5</w:t>
            </w:r>
          </w:p>
        </w:tc>
        <w:tc>
          <w:tcPr>
            <w:tcW w:w="2005" w:type="dxa"/>
          </w:tcPr>
          <w:p>
            <w:pPr>
              <w:pStyle w:val="0"/>
              <w:jc w:val="center"/>
            </w:pPr>
            <w:r>
              <w:rPr>
                <w:sz w:val="24"/>
              </w:rPr>
              <w:t xml:space="preserve">10</w:t>
            </w:r>
          </w:p>
        </w:tc>
      </w:tr>
      <w:tr>
        <w:tc>
          <w:tcPr>
            <w:tcW w:w="3624" w:type="dxa"/>
          </w:tcPr>
          <w:p>
            <w:pPr>
              <w:pStyle w:val="0"/>
              <w:jc w:val="both"/>
            </w:pPr>
            <w:r>
              <w:rPr>
                <w:sz w:val="24"/>
              </w:rPr>
              <w:t xml:space="preserve">Магнезит</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jc w:val="both"/>
            </w:pPr>
            <w:r>
              <w:rPr>
                <w:sz w:val="24"/>
              </w:rPr>
              <w:t xml:space="preserve">Мраморы (архитектурно-строительные, поделочные и статуарные)</w:t>
            </w:r>
          </w:p>
        </w:tc>
        <w:tc>
          <w:tcPr>
            <w:tcW w:w="1406" w:type="dxa"/>
          </w:tcPr>
          <w:p>
            <w:pPr>
              <w:pStyle w:val="0"/>
              <w:jc w:val="center"/>
            </w:pPr>
            <w:r>
              <w:rPr>
                <w:sz w:val="24"/>
              </w:rPr>
              <w:t xml:space="preserve">млн. т</w:t>
            </w:r>
          </w:p>
        </w:tc>
        <w:tc>
          <w:tcPr>
            <w:tcW w:w="2005" w:type="dxa"/>
          </w:tcPr>
          <w:p>
            <w:pPr>
              <w:pStyle w:val="0"/>
              <w:jc w:val="center"/>
            </w:pPr>
            <w:r>
              <w:rPr>
                <w:sz w:val="24"/>
              </w:rPr>
              <w:t xml:space="preserve">0,5</w:t>
            </w:r>
          </w:p>
        </w:tc>
        <w:tc>
          <w:tcPr>
            <w:tcW w:w="2005" w:type="dxa"/>
          </w:tcPr>
          <w:p>
            <w:pPr>
              <w:pStyle w:val="0"/>
              <w:jc w:val="center"/>
            </w:pPr>
            <w:r>
              <w:rPr>
                <w:sz w:val="24"/>
              </w:rPr>
              <w:t xml:space="preserve">1</w:t>
            </w:r>
          </w:p>
        </w:tc>
      </w:tr>
      <w:tr>
        <w:tc>
          <w:tcPr>
            <w:tcW w:w="3624" w:type="dxa"/>
          </w:tcPr>
          <w:p>
            <w:pPr>
              <w:pStyle w:val="0"/>
              <w:jc w:val="both"/>
            </w:pPr>
            <w:r>
              <w:rPr>
                <w:sz w:val="24"/>
              </w:rPr>
              <w:t xml:space="preserve">Пески стекольные, формовочные</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jc w:val="both"/>
            </w:pPr>
            <w:r>
              <w:rPr>
                <w:sz w:val="24"/>
              </w:rPr>
              <w:t xml:space="preserve">Плавиковый шпат</w:t>
            </w:r>
          </w:p>
        </w:tc>
        <w:tc>
          <w:tcPr>
            <w:tcW w:w="1406" w:type="dxa"/>
          </w:tcPr>
          <w:p>
            <w:pPr>
              <w:pStyle w:val="0"/>
              <w:jc w:val="center"/>
            </w:pPr>
            <w:r>
              <w:rPr>
                <w:sz w:val="24"/>
              </w:rPr>
              <w:t xml:space="preserve">млн. т</w:t>
            </w:r>
          </w:p>
        </w:tc>
        <w:tc>
          <w:tcPr>
            <w:tcW w:w="2005" w:type="dxa"/>
          </w:tcPr>
          <w:p>
            <w:pPr>
              <w:pStyle w:val="0"/>
              <w:jc w:val="center"/>
            </w:pPr>
            <w:r>
              <w:rPr>
                <w:sz w:val="24"/>
              </w:rPr>
              <w:t xml:space="preserve">1</w:t>
            </w:r>
          </w:p>
        </w:tc>
        <w:tc>
          <w:tcPr>
            <w:tcW w:w="2005" w:type="dxa"/>
          </w:tcPr>
          <w:p>
            <w:pPr>
              <w:pStyle w:val="0"/>
              <w:jc w:val="center"/>
            </w:pPr>
            <w:r>
              <w:rPr>
                <w:sz w:val="24"/>
              </w:rPr>
              <w:t xml:space="preserve">3</w:t>
            </w:r>
          </w:p>
        </w:tc>
      </w:tr>
      <w:tr>
        <w:tc>
          <w:tcPr>
            <w:tcW w:w="3624" w:type="dxa"/>
          </w:tcPr>
          <w:p>
            <w:pPr>
              <w:pStyle w:val="0"/>
              <w:jc w:val="both"/>
            </w:pPr>
            <w:r>
              <w:rPr>
                <w:sz w:val="24"/>
              </w:rPr>
              <w:t xml:space="preserve">Слюда-мусковит</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10</w:t>
            </w:r>
          </w:p>
        </w:tc>
        <w:tc>
          <w:tcPr>
            <w:tcW w:w="2005" w:type="dxa"/>
          </w:tcPr>
          <w:p>
            <w:pPr>
              <w:pStyle w:val="0"/>
              <w:jc w:val="center"/>
            </w:pPr>
            <w:r>
              <w:rPr>
                <w:sz w:val="24"/>
              </w:rPr>
              <w:t xml:space="preserve">20</w:t>
            </w:r>
          </w:p>
        </w:tc>
      </w:tr>
      <w:tr>
        <w:tc>
          <w:tcPr>
            <w:tcW w:w="3624" w:type="dxa"/>
          </w:tcPr>
          <w:p>
            <w:pPr>
              <w:pStyle w:val="0"/>
              <w:jc w:val="both"/>
            </w:pPr>
            <w:r>
              <w:rPr>
                <w:sz w:val="24"/>
              </w:rPr>
              <w:t xml:space="preserve">Слюда-флогопит и вермикулит</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w:t>
            </w:r>
          </w:p>
        </w:tc>
        <w:tc>
          <w:tcPr>
            <w:tcW w:w="2005" w:type="dxa"/>
          </w:tcPr>
          <w:p>
            <w:pPr>
              <w:pStyle w:val="0"/>
              <w:jc w:val="center"/>
            </w:pPr>
            <w:r>
              <w:rPr>
                <w:sz w:val="24"/>
              </w:rPr>
              <w:t xml:space="preserve">2</w:t>
            </w:r>
          </w:p>
        </w:tc>
      </w:tr>
      <w:tr>
        <w:tc>
          <w:tcPr>
            <w:tcW w:w="3624" w:type="dxa"/>
          </w:tcPr>
          <w:p>
            <w:pPr>
              <w:pStyle w:val="0"/>
              <w:jc w:val="both"/>
            </w:pPr>
            <w:r>
              <w:rPr>
                <w:sz w:val="24"/>
              </w:rPr>
              <w:t xml:space="preserve">Цеолиты</w:t>
            </w:r>
          </w:p>
        </w:tc>
        <w:tc>
          <w:tcPr>
            <w:tcW w:w="1406" w:type="dxa"/>
          </w:tcPr>
          <w:p>
            <w:pPr>
              <w:pStyle w:val="0"/>
              <w:jc w:val="center"/>
            </w:pPr>
            <w:r>
              <w:rPr>
                <w:sz w:val="24"/>
              </w:rPr>
              <w:t xml:space="preserve">тыс. т</w:t>
            </w:r>
          </w:p>
        </w:tc>
        <w:tc>
          <w:tcPr>
            <w:tcW w:w="2005" w:type="dxa"/>
          </w:tcPr>
          <w:p>
            <w:pPr>
              <w:pStyle w:val="0"/>
              <w:jc w:val="center"/>
            </w:pPr>
            <w:r>
              <w:rPr>
                <w:sz w:val="24"/>
              </w:rPr>
              <w:t xml:space="preserve">100</w:t>
            </w:r>
          </w:p>
        </w:tc>
        <w:tc>
          <w:tcPr>
            <w:tcW w:w="2005" w:type="dxa"/>
          </w:tcPr>
          <w:p>
            <w:pPr>
              <w:pStyle w:val="0"/>
              <w:jc w:val="center"/>
            </w:pPr>
            <w:r>
              <w:rPr>
                <w:sz w:val="24"/>
              </w:rPr>
              <w:t xml:space="preserve">200</w:t>
            </w:r>
          </w:p>
        </w:tc>
      </w:tr>
      <w:tr>
        <w:tc>
          <w:tcPr>
            <w:gridSpan w:val="4"/>
            <w:tcW w:w="9040" w:type="dxa"/>
          </w:tcPr>
          <w:p>
            <w:pPr>
              <w:pStyle w:val="0"/>
              <w:outlineLvl w:val="2"/>
            </w:pPr>
            <w:r>
              <w:rPr>
                <w:sz w:val="24"/>
              </w:rPr>
              <w:t xml:space="preserve">IX. Камнесамоцветное, кварцевое и пьезооптическое сырье</w:t>
            </w:r>
          </w:p>
        </w:tc>
      </w:tr>
      <w:tr>
        <w:tc>
          <w:tcPr>
            <w:tcW w:w="3624" w:type="dxa"/>
          </w:tcPr>
          <w:p>
            <w:pPr>
              <w:pStyle w:val="0"/>
              <w:jc w:val="both"/>
            </w:pPr>
            <w:r>
              <w:rPr>
                <w:sz w:val="24"/>
              </w:rPr>
              <w:t xml:space="preserve">Поделочные камни: змеевик, оникс мраморный, офикальцит, яшма</w:t>
            </w:r>
          </w:p>
        </w:tc>
        <w:tc>
          <w:tcPr>
            <w:tcW w:w="1406" w:type="dxa"/>
          </w:tcPr>
          <w:p>
            <w:pPr>
              <w:pStyle w:val="0"/>
              <w:jc w:val="center"/>
            </w:pPr>
            <w:r>
              <w:rPr>
                <w:sz w:val="24"/>
              </w:rPr>
              <w:t xml:space="preserve">т</w:t>
            </w:r>
          </w:p>
        </w:tc>
        <w:tc>
          <w:tcPr>
            <w:tcW w:w="2005" w:type="dxa"/>
          </w:tcPr>
          <w:p>
            <w:pPr>
              <w:pStyle w:val="0"/>
              <w:jc w:val="center"/>
            </w:pPr>
            <w:r>
              <w:rPr>
                <w:sz w:val="24"/>
              </w:rPr>
              <w:t xml:space="preserve">1000</w:t>
            </w:r>
          </w:p>
        </w:tc>
        <w:tc>
          <w:tcPr>
            <w:tcW w:w="2005" w:type="dxa"/>
          </w:tcPr>
          <w:p>
            <w:pPr>
              <w:pStyle w:val="0"/>
              <w:jc w:val="center"/>
            </w:pPr>
            <w:r>
              <w:rPr>
                <w:sz w:val="24"/>
              </w:rPr>
              <w:t xml:space="preserve">1000</w:t>
            </w:r>
          </w:p>
        </w:tc>
      </w:tr>
      <w:tr>
        <w:tc>
          <w:tcPr>
            <w:gridSpan w:val="4"/>
            <w:tcW w:w="9040" w:type="dxa"/>
          </w:tcPr>
          <w:p>
            <w:pPr>
              <w:pStyle w:val="0"/>
              <w:outlineLvl w:val="2"/>
            </w:pPr>
            <w:r>
              <w:rPr>
                <w:sz w:val="24"/>
              </w:rPr>
              <w:t xml:space="preserve">X. Подземные воды и лечебные минеральные ресурсы</w:t>
            </w:r>
          </w:p>
        </w:tc>
      </w:tr>
      <w:tr>
        <w:tc>
          <w:tcPr>
            <w:tcW w:w="3624" w:type="dxa"/>
          </w:tcPr>
          <w:p>
            <w:pPr>
              <w:pStyle w:val="0"/>
              <w:jc w:val="both"/>
            </w:pPr>
            <w:r>
              <w:rPr>
                <w:sz w:val="24"/>
              </w:rPr>
              <w:t xml:space="preserve">Питьевые и технические подземные воды</w:t>
            </w:r>
          </w:p>
        </w:tc>
        <w:tc>
          <w:tcPr>
            <w:tcW w:w="1406" w:type="dxa"/>
          </w:tcPr>
          <w:p>
            <w:pPr>
              <w:pStyle w:val="0"/>
              <w:jc w:val="center"/>
            </w:pPr>
            <w:r>
              <w:rPr>
                <w:sz w:val="24"/>
              </w:rPr>
              <w:t xml:space="preserve">м</w:t>
            </w:r>
            <w:r>
              <w:rPr>
                <w:sz w:val="24"/>
                <w:vertAlign w:val="superscript"/>
              </w:rPr>
              <w:t xml:space="preserve">3</w:t>
            </w:r>
            <w:r>
              <w:rPr>
                <w:sz w:val="24"/>
              </w:rPr>
              <w:t xml:space="preserve">/сут.</w:t>
            </w:r>
          </w:p>
        </w:tc>
        <w:tc>
          <w:tcPr>
            <w:tcW w:w="2005" w:type="dxa"/>
          </w:tcPr>
          <w:p>
            <w:pPr>
              <w:pStyle w:val="0"/>
              <w:jc w:val="center"/>
            </w:pPr>
            <w:r>
              <w:rPr>
                <w:sz w:val="24"/>
              </w:rPr>
              <w:t xml:space="preserve">100 000</w:t>
            </w:r>
          </w:p>
        </w:tc>
        <w:tc>
          <w:tcPr>
            <w:tcW w:w="2005" w:type="dxa"/>
          </w:tcPr>
          <w:p>
            <w:pPr>
              <w:pStyle w:val="0"/>
              <w:jc w:val="center"/>
            </w:pPr>
            <w:r>
              <w:rPr>
                <w:sz w:val="24"/>
              </w:rPr>
              <w:t xml:space="preserve">100 000</w:t>
            </w:r>
          </w:p>
        </w:tc>
      </w:tr>
      <w:tr>
        <w:tc>
          <w:tcPr>
            <w:tcW w:w="3624" w:type="dxa"/>
          </w:tcPr>
          <w:p>
            <w:pPr>
              <w:pStyle w:val="0"/>
              <w:jc w:val="both"/>
            </w:pPr>
            <w:r>
              <w:rPr>
                <w:sz w:val="24"/>
              </w:rPr>
              <w:t xml:space="preserve">Подземная минеральная вода</w:t>
            </w:r>
          </w:p>
        </w:tc>
        <w:tc>
          <w:tcPr>
            <w:gridSpan w:val="3"/>
            <w:tcW w:w="5416" w:type="dxa"/>
          </w:tcPr>
          <w:p>
            <w:pPr>
              <w:pStyle w:val="0"/>
              <w:jc w:val="both"/>
            </w:pPr>
            <w:r>
              <w:rPr>
                <w:sz w:val="24"/>
              </w:rPr>
              <w:t xml:space="preserve">без ограничений (за исключением случая, указанного в </w:t>
            </w:r>
            <w:hyperlink w:history="0" w:anchor="P65" w:tooltip="7) участков недр, предоставленных в пользование для геологического изучения и (или) разведки и добычи минеральных подземных вод на территории курортов федерального значения;">
              <w:r>
                <w:rPr>
                  <w:sz w:val="24"/>
                  <w:color w:val="0000ff"/>
                </w:rPr>
                <w:t xml:space="preserve">подпункте 7 пункта 5</w:t>
              </w:r>
            </w:hyperlink>
            <w:r>
              <w:rPr>
                <w:sz w:val="24"/>
              </w:rPr>
              <w:t xml:space="preserve"> настоящего Порядка)</w:t>
            </w:r>
          </w:p>
        </w:tc>
      </w:tr>
      <w:tr>
        <w:tc>
          <w:tcPr>
            <w:tcW w:w="3624" w:type="dxa"/>
          </w:tcPr>
          <w:p>
            <w:pPr>
              <w:pStyle w:val="0"/>
              <w:jc w:val="both"/>
            </w:pPr>
            <w:r>
              <w:rPr>
                <w:sz w:val="24"/>
              </w:rPr>
              <w:t xml:space="preserve">Лечебная грязь и другие минеральные ресурсы, отнесенные к категории лечебных</w:t>
            </w:r>
          </w:p>
        </w:tc>
        <w:tc>
          <w:tcPr>
            <w:gridSpan w:val="3"/>
            <w:tcW w:w="5416" w:type="dxa"/>
          </w:tcPr>
          <w:p>
            <w:pPr>
              <w:pStyle w:val="0"/>
              <w:jc w:val="both"/>
            </w:pPr>
            <w:r>
              <w:rPr>
                <w:sz w:val="24"/>
              </w:rPr>
              <w:t xml:space="preserve">без ограничений</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743, Роснедр N 08 от 13.10.2021</w:t>
            <w:br/>
            <w:t>"Об утверждении Порядка прекращения права пользования недрами...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138&amp;date=17.10.2025&amp;dst=676&amp;field=134" TargetMode = "External"/><Relationship Id="rId9" Type="http://schemas.openxmlformats.org/officeDocument/2006/relationships/hyperlink" Target="https://login.consultant.ru/link/?req=doc&amp;base=LAW&amp;n=500820&amp;date=17.10.2025&amp;dst=109&amp;field=134" TargetMode = "External"/><Relationship Id="rId10" Type="http://schemas.openxmlformats.org/officeDocument/2006/relationships/hyperlink" Target="https://login.consultant.ru/link/?req=doc&amp;base=LAW&amp;n=393844&amp;date=17.10.2025&amp;dst=100012&amp;field=134" TargetMode = "External"/><Relationship Id="rId11" Type="http://schemas.openxmlformats.org/officeDocument/2006/relationships/hyperlink" Target="https://login.consultant.ru/link/?req=doc&amp;base=LAW&amp;n=500138&amp;date=17.10.2025&amp;dst=668&amp;field=134" TargetMode = "External"/><Relationship Id="rId12" Type="http://schemas.openxmlformats.org/officeDocument/2006/relationships/hyperlink" Target="https://login.consultant.ru/link/?req=doc&amp;base=LAW&amp;n=500138&amp;date=17.10.2025&amp;dst=453&amp;field=134" TargetMode = "External"/><Relationship Id="rId13" Type="http://schemas.openxmlformats.org/officeDocument/2006/relationships/hyperlink" Target="https://login.consultant.ru/link/?req=doc&amp;base=LAW&amp;n=500138&amp;date=17.10.2025&amp;dst=455&amp;field=134" TargetMode = "External"/><Relationship Id="rId14" Type="http://schemas.openxmlformats.org/officeDocument/2006/relationships/hyperlink" Target="https://login.consultant.ru/link/?req=doc&amp;base=LAW&amp;n=500138&amp;date=17.10.2025&amp;dst=479&amp;field=134" TargetMode = "External"/><Relationship Id="rId15" Type="http://schemas.openxmlformats.org/officeDocument/2006/relationships/hyperlink" Target="https://login.consultant.ru/link/?req=doc&amp;base=LAW&amp;n=500138&amp;date=17.10.2025&amp;dst=481&amp;field=134" TargetMode = "External"/><Relationship Id="rId16" Type="http://schemas.openxmlformats.org/officeDocument/2006/relationships/hyperlink" Target="https://login.consultant.ru/link/?req=doc&amp;base=LAW&amp;n=500138&amp;date=17.10.2025&amp;dst=633&amp;field=134" TargetMode = "External"/><Relationship Id="rId17" Type="http://schemas.openxmlformats.org/officeDocument/2006/relationships/hyperlink" Target="https://login.consultant.ru/link/?req=doc&amp;base=LAW&amp;n=500138&amp;date=17.10.2025&amp;dst=100280&amp;field=134" TargetMode = "External"/><Relationship Id="rId18" Type="http://schemas.openxmlformats.org/officeDocument/2006/relationships/hyperlink" Target="https://login.consultant.ru/link/?req=doc&amp;base=LAW&amp;n=500138&amp;date=17.10.2025&amp;dst=239&amp;field=134" TargetMode = "External"/><Relationship Id="rId19" Type="http://schemas.openxmlformats.org/officeDocument/2006/relationships/hyperlink" Target="https://login.consultant.ru/link/?req=doc&amp;base=LAW&amp;n=500138&amp;date=17.10.2025&amp;dst=100600&amp;field=134" TargetMode = "External"/><Relationship Id="rId20" Type="http://schemas.openxmlformats.org/officeDocument/2006/relationships/hyperlink" Target="https://login.consultant.ru/link/?req=doc&amp;base=LAW&amp;n=500138&amp;date=17.10.2025&amp;dst=648&amp;field=134" TargetMode = "External"/><Relationship Id="rId21" Type="http://schemas.openxmlformats.org/officeDocument/2006/relationships/hyperlink" Target="https://login.consultant.ru/link/?req=doc&amp;base=LAW&amp;n=500138&amp;date=17.10.2025&amp;dst=692&amp;field=134" TargetMode = "External"/><Relationship Id="rId22" Type="http://schemas.openxmlformats.org/officeDocument/2006/relationships/hyperlink" Target="https://login.consultant.ru/link/?req=doc&amp;base=LAW&amp;n=500138&amp;date=17.10.2025&amp;dst=730&amp;field=134" TargetMode = "External"/><Relationship Id="rId23" Type="http://schemas.openxmlformats.org/officeDocument/2006/relationships/hyperlink" Target="https://login.consultant.ru/link/?req=doc&amp;base=LAW&amp;n=500138&amp;date=17.10.2025&amp;dst=100280&amp;field=134" TargetMode = "External"/><Relationship Id="rId24" Type="http://schemas.openxmlformats.org/officeDocument/2006/relationships/hyperlink" Target="https://login.consultant.ru/link/?req=doc&amp;base=LAW&amp;n=500138&amp;date=17.10.2025&amp;dst=658&amp;field=134" TargetMode = "External"/><Relationship Id="rId25" Type="http://schemas.openxmlformats.org/officeDocument/2006/relationships/hyperlink" Target="https://login.consultant.ru/link/?req=doc&amp;base=LAW&amp;n=500138&amp;date=17.10.2025&amp;dst=692&amp;field=134" TargetMode = "External"/><Relationship Id="rId26" Type="http://schemas.openxmlformats.org/officeDocument/2006/relationships/hyperlink" Target="https://login.consultant.ru/link/?req=doc&amp;base=LAW&amp;n=500138&amp;date=17.10.2025&amp;dst=730&amp;field=134" TargetMode = "External"/><Relationship Id="rId27" Type="http://schemas.openxmlformats.org/officeDocument/2006/relationships/hyperlink" Target="https://login.consultant.ru/link/?req=doc&amp;base=LAW&amp;n=500138&amp;date=17.10.2025&amp;dst=692&amp;field=134" TargetMode = "External"/><Relationship Id="rId28" Type="http://schemas.openxmlformats.org/officeDocument/2006/relationships/hyperlink" Target="https://login.consultant.ru/link/?req=doc&amp;base=LAW&amp;n=500138&amp;date=17.10.2025&amp;dst=730&amp;field=134" TargetMode = "External"/><Relationship Id="rId29" Type="http://schemas.openxmlformats.org/officeDocument/2006/relationships/hyperlink" Target="https://login.consultant.ru/link/?req=doc&amp;base=LAW&amp;n=500138&amp;date=17.10.2025&amp;dst=421&amp;field=134" TargetMode = "External"/><Relationship Id="rId30" Type="http://schemas.openxmlformats.org/officeDocument/2006/relationships/hyperlink" Target="https://login.consultant.ru/link/?req=doc&amp;base=LAW&amp;n=500138&amp;date=17.10.2025&amp;dst=100280&amp;field=134" TargetMode = "External"/><Relationship Id="rId31" Type="http://schemas.openxmlformats.org/officeDocument/2006/relationships/hyperlink" Target="https://login.consultant.ru/link/?req=doc&amp;base=LAW&amp;n=500138&amp;date=17.10.2025&amp;dst=692&amp;field=134" TargetMode = "External"/><Relationship Id="rId32" Type="http://schemas.openxmlformats.org/officeDocument/2006/relationships/hyperlink" Target="https://login.consultant.ru/link/?req=doc&amp;base=LAW&amp;n=500138&amp;date=17.10.2025&amp;dst=692&amp;field=134" TargetMode = "External"/><Relationship Id="rId33" Type="http://schemas.openxmlformats.org/officeDocument/2006/relationships/hyperlink" Target="https://login.consultant.ru/link/?req=doc&amp;base=LAW&amp;n=500138&amp;date=17.10.2025&amp;dst=708&amp;field=134" TargetMode = "External"/><Relationship Id="rId34" Type="http://schemas.openxmlformats.org/officeDocument/2006/relationships/hyperlink" Target="https://login.consultant.ru/link/?req=doc&amp;base=LAW&amp;n=500138&amp;date=17.10.2025&amp;dst=692&amp;field=134" TargetMode = "External"/><Relationship Id="rId35" Type="http://schemas.openxmlformats.org/officeDocument/2006/relationships/hyperlink" Target="https://login.consultant.ru/link/?req=doc&amp;base=LAW&amp;n=500138&amp;date=17.10.2025&amp;dst=708&amp;field=134" TargetMode = "External"/><Relationship Id="rId36" Type="http://schemas.openxmlformats.org/officeDocument/2006/relationships/hyperlink" Target="https://login.consultant.ru/link/?req=doc&amp;base=LAW&amp;n=371401&amp;date=17.10.2025" TargetMode = "External"/><Relationship Id="rId37" Type="http://schemas.openxmlformats.org/officeDocument/2006/relationships/hyperlink" Target="https://login.consultant.ru/link/?req=doc&amp;base=LAW&amp;n=371401&amp;date=17.10.2025" TargetMode = "External"/><Relationship Id="rId38" Type="http://schemas.openxmlformats.org/officeDocument/2006/relationships/hyperlink" Target="https://login.consultant.ru/link/?req=doc&amp;base=LAW&amp;n=500138&amp;date=17.10.2025&amp;dst=100600&amp;field=134" TargetMode = "External"/><Relationship Id="rId39" Type="http://schemas.openxmlformats.org/officeDocument/2006/relationships/hyperlink" Target="https://login.consultant.ru/link/?req=doc&amp;base=LAW&amp;n=500138&amp;date=17.10.2025&amp;dst=692&amp;field=134" TargetMode = "External"/><Relationship Id="rId40" Type="http://schemas.openxmlformats.org/officeDocument/2006/relationships/hyperlink" Target="https://login.consultant.ru/link/?req=doc&amp;base=LAW&amp;n=500138&amp;date=17.10.2025&amp;dst=373&amp;field=134" TargetMode = "External"/><Relationship Id="rId41" Type="http://schemas.openxmlformats.org/officeDocument/2006/relationships/hyperlink" Target="https://login.consultant.ru/link/?req=doc&amp;base=LAW&amp;n=500138&amp;date=17.10.2025&amp;dst=708&amp;field=134" TargetMode = "External"/><Relationship Id="rId42" Type="http://schemas.openxmlformats.org/officeDocument/2006/relationships/hyperlink" Target="https://login.consultant.ru/link/?req=doc&amp;base=LAW&amp;n=503689&amp;date=17.10.2025" TargetMode = "External"/><Relationship Id="rId43" Type="http://schemas.openxmlformats.org/officeDocument/2006/relationships/hyperlink" Target="https://login.consultant.ru/link/?req=doc&amp;base=LAW&amp;n=503689&amp;date=17.10.2025" TargetMode = "External"/><Relationship Id="rId44" Type="http://schemas.openxmlformats.org/officeDocument/2006/relationships/hyperlink" Target="https://login.consultant.ru/link/?req=doc&amp;base=LAW&amp;n=499934&amp;date=17.10.2025" TargetMode = "External"/><Relationship Id="rId45" Type="http://schemas.openxmlformats.org/officeDocument/2006/relationships/hyperlink" Target="https://login.consultant.ru/link/?req=doc&amp;base=LAW&amp;n=500138&amp;date=17.10.2025&amp;dst=669&amp;field=134" TargetMode = "External"/><Relationship Id="rId46" Type="http://schemas.openxmlformats.org/officeDocument/2006/relationships/hyperlink" Target="https://login.consultant.ru/link/?req=doc&amp;base=LAW&amp;n=500138&amp;date=17.10.2025&amp;dst=692&amp;field=134" TargetMode = "External"/><Relationship Id="rId47" Type="http://schemas.openxmlformats.org/officeDocument/2006/relationships/hyperlink" Target="https://login.consultant.ru/link/?req=doc&amp;base=LAW&amp;n=500138&amp;date=17.10.2025&amp;dst=708&amp;field=134" TargetMode = "External"/><Relationship Id="rId48" Type="http://schemas.openxmlformats.org/officeDocument/2006/relationships/hyperlink" Target="https://login.consultant.ru/link/?req=doc&amp;base=LAW&amp;n=500138&amp;date=17.10.2025&amp;dst=373&amp;field=134" TargetMode = "External"/><Relationship Id="rId49" Type="http://schemas.openxmlformats.org/officeDocument/2006/relationships/hyperlink" Target="https://login.consultant.ru/link/?req=doc&amp;base=LAW&amp;n=503689&amp;date=17.10.2025" TargetMode = "External"/><Relationship Id="rId50" Type="http://schemas.openxmlformats.org/officeDocument/2006/relationships/hyperlink" Target="https://login.consultant.ru/link/?req=doc&amp;base=LAW&amp;n=500138&amp;date=17.10.2025&amp;dst=100280&amp;field=134" TargetMode = "External"/><Relationship Id="rId51" Type="http://schemas.openxmlformats.org/officeDocument/2006/relationships/hyperlink" Target="https://login.consultant.ru/link/?req=doc&amp;base=LAW&amp;n=500138&amp;date=17.10.2025&amp;dst=692&amp;field=134" TargetMode = "External"/><Relationship Id="rId52" Type="http://schemas.openxmlformats.org/officeDocument/2006/relationships/hyperlink" Target="https://login.consultant.ru/link/?req=doc&amp;base=LAW&amp;n=500138&amp;date=17.10.2025&amp;dst=730&amp;field=134" TargetMode = "External"/><Relationship Id="rId53" Type="http://schemas.openxmlformats.org/officeDocument/2006/relationships/hyperlink" Target="https://login.consultant.ru/link/?req=doc&amp;base=LAW&amp;n=508490&amp;date=17.10.2025&amp;dst=101922&amp;field=134" TargetMode = "External"/><Relationship Id="rId54" Type="http://schemas.openxmlformats.org/officeDocument/2006/relationships/hyperlink" Target="https://login.consultant.ru/link/?req=doc&amp;base=LAW&amp;n=500138&amp;date=17.10.2025&amp;dst=671&amp;field=134" TargetMode = "External"/><Relationship Id="rId55" Type="http://schemas.openxmlformats.org/officeDocument/2006/relationships/hyperlink" Target="https://login.consultant.ru/link/?req=doc&amp;base=LAW&amp;n=500138&amp;date=17.10.2025&amp;dst=671&amp;field=134" TargetMode = "External"/><Relationship Id="rId56" Type="http://schemas.openxmlformats.org/officeDocument/2006/relationships/hyperlink" Target="https://login.consultant.ru/link/?req=doc&amp;base=LAW&amp;n=500138&amp;date=17.10.2025&amp;dst=671&amp;field=134" TargetMode = "External"/><Relationship Id="rId57" Type="http://schemas.openxmlformats.org/officeDocument/2006/relationships/hyperlink" Target="https://login.consultant.ru/link/?req=doc&amp;base=LAW&amp;n=500138&amp;date=17.10.2025&amp;dst=635&amp;field=134" TargetMode = "External"/><Relationship Id="rId58" Type="http://schemas.openxmlformats.org/officeDocument/2006/relationships/hyperlink" Target="https://login.consultant.ru/link/?req=doc&amp;base=LAW&amp;n=500138&amp;date=17.10.2025&amp;dst=637&amp;field=134" TargetMode = "External"/><Relationship Id="rId59" Type="http://schemas.openxmlformats.org/officeDocument/2006/relationships/hyperlink" Target="https://login.consultant.ru/link/?req=doc&amp;base=LAW&amp;n=500138&amp;date=17.10.2025&amp;dst=639&amp;field=134" TargetMode = "External"/><Relationship Id="rId60" Type="http://schemas.openxmlformats.org/officeDocument/2006/relationships/hyperlink" Target="https://login.consultant.ru/link/?req=doc&amp;base=LAW&amp;n=500138&amp;date=17.10.2025&amp;dst=640&amp;field=134" TargetMode = "External"/><Relationship Id="rId61" Type="http://schemas.openxmlformats.org/officeDocument/2006/relationships/hyperlink" Target="https://login.consultant.ru/link/?req=doc&amp;base=LAW&amp;n=503689&amp;date=17.10.2025" TargetMode = "External"/><Relationship Id="rId62" Type="http://schemas.openxmlformats.org/officeDocument/2006/relationships/hyperlink" Target="https://login.consultant.ru/link/?req=doc&amp;base=LAW&amp;n=503689&amp;date=17.10.2025" TargetMode = "External"/><Relationship Id="rId63" Type="http://schemas.openxmlformats.org/officeDocument/2006/relationships/hyperlink" Target="https://login.consultant.ru/link/?req=doc&amp;base=LAW&amp;n=500138&amp;date=17.10.2025&amp;dst=100345&amp;field=134" TargetMode = "External"/><Relationship Id="rId64" Type="http://schemas.openxmlformats.org/officeDocument/2006/relationships/hyperlink" Target="https://login.consultant.ru/link/?req=doc&amp;base=LAW&amp;n=500138&amp;date=17.10.2025&amp;dst=100345&amp;field=134" TargetMode = "External"/><Relationship Id="rId65" Type="http://schemas.openxmlformats.org/officeDocument/2006/relationships/hyperlink" Target="https://login.consultant.ru/link/?req=doc&amp;base=LAW&amp;n=500138&amp;date=17.10.2025&amp;dst=1003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743, Роснедр N 08 от 13.10.2021
"Об утверждении Порядка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(Зарегистрировано в Минюсте России 13.12.2021 N 66305)</dc:title>
  <dcterms:created xsi:type="dcterms:W3CDTF">2025-10-17T08:30:33Z</dcterms:created>
</cp:coreProperties>
</file>